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195701" w14:textId="77777777" w:rsidR="00543BBE" w:rsidRPr="0096671D" w:rsidRDefault="0096671D" w:rsidP="005E6D29">
      <w:pPr>
        <w:spacing w:before="5" w:after="120"/>
        <w:ind w:left="605" w:right="806"/>
        <w:contextualSpacing/>
        <w:textAlignment w:val="baseline"/>
        <w:rPr>
          <w:rFonts w:asciiTheme="minorHAnsi" w:hAnsiTheme="minorHAnsi" w:cs="Calibri"/>
        </w:rPr>
      </w:pPr>
      <w:r w:rsidRPr="0096671D">
        <w:rPr>
          <w:rFonts w:asciiTheme="minorHAnsi" w:hAnsiTheme="minorHAnsi" w:cs="Calibri"/>
          <w:noProof/>
        </w:rPr>
        <w:drawing>
          <wp:inline distT="0" distB="0" distL="0" distR="0" wp14:anchorId="0CBBBEC3" wp14:editId="1991E6DB">
            <wp:extent cx="5596255" cy="740410"/>
            <wp:effectExtent l="0" t="0" r="0" b="0"/>
            <wp:docPr id="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96255" cy="740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B60CC4" w14:textId="77777777" w:rsidR="005E6D29" w:rsidRPr="0096671D" w:rsidRDefault="005E6D29" w:rsidP="005E6D29">
      <w:pPr>
        <w:spacing w:before="5" w:after="120"/>
        <w:ind w:left="605" w:right="806"/>
        <w:contextualSpacing/>
        <w:textAlignment w:val="baseline"/>
        <w:rPr>
          <w:rFonts w:asciiTheme="minorHAnsi" w:hAnsiTheme="minorHAnsi" w:cs="Calibri"/>
        </w:rPr>
      </w:pPr>
    </w:p>
    <w:p w14:paraId="552B8D44" w14:textId="1A5423B6" w:rsidR="00543BBE" w:rsidRPr="0096671D" w:rsidRDefault="0096671D" w:rsidP="006F0E56">
      <w:pPr>
        <w:shd w:val="solid" w:color="1F3D7A" w:fill="1F3D7A"/>
        <w:spacing w:after="120"/>
        <w:contextualSpacing/>
        <w:jc w:val="center"/>
        <w:textAlignment w:val="baseline"/>
        <w:rPr>
          <w:rFonts w:asciiTheme="minorHAnsi" w:eastAsia="Constantia" w:hAnsiTheme="minorHAnsi" w:cs="Calibri"/>
          <w:b/>
          <w:color w:val="FFFFFF"/>
          <w:sz w:val="33"/>
        </w:rPr>
      </w:pPr>
      <w:r w:rsidRPr="0096671D">
        <w:rPr>
          <w:rFonts w:asciiTheme="minorHAnsi" w:eastAsia="Constantia" w:hAnsiTheme="minorHAnsi" w:cs="Calibri"/>
          <w:b/>
          <w:color w:val="FFFFFF"/>
          <w:sz w:val="33"/>
        </w:rPr>
        <w:t xml:space="preserve">National </w:t>
      </w:r>
      <w:proofErr w:type="spellStart"/>
      <w:r w:rsidRPr="0096671D">
        <w:rPr>
          <w:rFonts w:asciiTheme="minorHAnsi" w:eastAsia="Constantia" w:hAnsiTheme="minorHAnsi" w:cs="Calibri"/>
          <w:b/>
          <w:color w:val="FFFFFF"/>
          <w:sz w:val="33"/>
        </w:rPr>
        <w:t>Oilheat</w:t>
      </w:r>
      <w:proofErr w:type="spellEnd"/>
      <w:r w:rsidRPr="0096671D">
        <w:rPr>
          <w:rFonts w:asciiTheme="minorHAnsi" w:eastAsia="Constantia" w:hAnsiTheme="minorHAnsi" w:cs="Calibri"/>
          <w:b/>
          <w:color w:val="FFFFFF"/>
          <w:sz w:val="33"/>
        </w:rPr>
        <w:t xml:space="preserve"> Research Alliance (NORA)</w:t>
      </w:r>
      <w:r w:rsidR="006F0E56">
        <w:rPr>
          <w:rFonts w:asciiTheme="minorHAnsi" w:eastAsia="Constantia" w:hAnsiTheme="minorHAnsi" w:cs="Calibri"/>
          <w:b/>
          <w:color w:val="FFFFFF"/>
          <w:sz w:val="33"/>
        </w:rPr>
        <w:t xml:space="preserve">, 25C </w:t>
      </w:r>
      <w:r w:rsidR="006F0E56" w:rsidRPr="006F0E56">
        <w:rPr>
          <w:rFonts w:asciiTheme="minorHAnsi" w:eastAsia="Constantia" w:hAnsiTheme="minorHAnsi" w:cs="Calibri"/>
          <w:b/>
          <w:color w:val="FFFFFF"/>
          <w:sz w:val="33"/>
        </w:rPr>
        <w:t xml:space="preserve">Energy Efficiency Home Improvement Credit </w:t>
      </w:r>
      <w:r w:rsidR="006F0E56">
        <w:rPr>
          <w:rFonts w:asciiTheme="minorHAnsi" w:eastAsia="Constantia" w:hAnsiTheme="minorHAnsi" w:cs="Calibri"/>
          <w:b/>
          <w:color w:val="FFFFFF"/>
          <w:sz w:val="33"/>
        </w:rPr>
        <w:t xml:space="preserve">&amp; </w:t>
      </w:r>
      <w:r w:rsidR="005E6D29" w:rsidRPr="0096671D">
        <w:rPr>
          <w:rFonts w:asciiTheme="minorHAnsi" w:eastAsia="Constantia" w:hAnsiTheme="minorHAnsi" w:cs="Calibri"/>
          <w:b/>
          <w:color w:val="FFFFFF"/>
          <w:sz w:val="33"/>
        </w:rPr>
        <w:t>The Energy Choice Act</w:t>
      </w:r>
    </w:p>
    <w:p w14:paraId="02D7439F" w14:textId="77777777" w:rsidR="00543BBE" w:rsidRPr="0096671D" w:rsidRDefault="0096671D" w:rsidP="005E6D29">
      <w:pPr>
        <w:pStyle w:val="Heading1"/>
        <w:spacing w:line="240" w:lineRule="auto"/>
        <w:ind w:left="-5" w:firstLine="0"/>
        <w:contextualSpacing/>
        <w:rPr>
          <w:rFonts w:asciiTheme="minorHAnsi" w:hAnsiTheme="minorHAnsi" w:cs="Calibri"/>
          <w:b w:val="0"/>
          <w:color w:val="006FC0"/>
        </w:rPr>
      </w:pPr>
      <w:r w:rsidRPr="0096671D">
        <w:rPr>
          <w:rFonts w:asciiTheme="minorHAnsi" w:eastAsia="Aptos" w:hAnsiTheme="minorHAnsi" w:cs="Calibri"/>
          <w:sz w:val="24"/>
          <w:szCs w:val="24"/>
        </w:rPr>
        <w:t>Background</w:t>
      </w:r>
    </w:p>
    <w:p w14:paraId="1749DD0B" w14:textId="77777777" w:rsidR="00543BBE" w:rsidRPr="0096671D" w:rsidRDefault="0096671D" w:rsidP="005E6D29">
      <w:pPr>
        <w:contextualSpacing/>
        <w:textAlignment w:val="baseline"/>
        <w:rPr>
          <w:rFonts w:asciiTheme="minorHAnsi" w:eastAsia="Constantia" w:hAnsiTheme="minorHAnsi" w:cs="Calibri"/>
          <w:color w:val="000000"/>
        </w:rPr>
      </w:pPr>
      <w:r w:rsidRPr="0096671D">
        <w:rPr>
          <w:rFonts w:asciiTheme="minorHAnsi" w:eastAsia="Constantia" w:hAnsiTheme="minorHAnsi" w:cs="Calibri"/>
          <w:color w:val="000000"/>
        </w:rPr>
        <w:t xml:space="preserve">Congress authorized NORA in 2000 to facilitate the liquid heating industry’s efforts to </w:t>
      </w:r>
      <w:r w:rsidR="00B66738" w:rsidRPr="0096671D">
        <w:rPr>
          <w:rFonts w:asciiTheme="minorHAnsi" w:eastAsia="Constantia" w:hAnsiTheme="minorHAnsi" w:cs="Calibri"/>
          <w:color w:val="000000"/>
        </w:rPr>
        <w:t xml:space="preserve">lower emissions and </w:t>
      </w:r>
      <w:r w:rsidRPr="0096671D">
        <w:rPr>
          <w:rFonts w:asciiTheme="minorHAnsi" w:eastAsia="Constantia" w:hAnsiTheme="minorHAnsi" w:cs="Calibri"/>
          <w:color w:val="000000"/>
        </w:rPr>
        <w:t>provide more reliable</w:t>
      </w:r>
      <w:r w:rsidR="00B66738" w:rsidRPr="0096671D">
        <w:rPr>
          <w:rFonts w:asciiTheme="minorHAnsi" w:eastAsia="Constantia" w:hAnsiTheme="minorHAnsi" w:cs="Calibri"/>
          <w:color w:val="000000"/>
        </w:rPr>
        <w:t xml:space="preserve"> </w:t>
      </w:r>
      <w:r w:rsidRPr="0096671D">
        <w:rPr>
          <w:rFonts w:asciiTheme="minorHAnsi" w:eastAsia="Constantia" w:hAnsiTheme="minorHAnsi" w:cs="Calibri"/>
          <w:color w:val="000000"/>
        </w:rPr>
        <w:t>home heating and hot water to six million homes. NORA receives $0.002 at the wholesale level on every gallon of liquid heating fuel sold</w:t>
      </w:r>
      <w:r w:rsidR="00B66738" w:rsidRPr="0096671D">
        <w:rPr>
          <w:rFonts w:asciiTheme="minorHAnsi" w:eastAsia="Constantia" w:hAnsiTheme="minorHAnsi" w:cs="Calibri"/>
          <w:color w:val="000000"/>
        </w:rPr>
        <w:t xml:space="preserve"> in the 21 states who voluntarily participate in the NORA program</w:t>
      </w:r>
      <w:r w:rsidRPr="0096671D">
        <w:rPr>
          <w:rFonts w:asciiTheme="minorHAnsi" w:eastAsia="Constantia" w:hAnsiTheme="minorHAnsi" w:cs="Calibri"/>
          <w:color w:val="000000"/>
        </w:rPr>
        <w:t xml:space="preserve">. NORA receives no federal </w:t>
      </w:r>
      <w:r w:rsidR="00B66738" w:rsidRPr="0096671D">
        <w:rPr>
          <w:rFonts w:asciiTheme="minorHAnsi" w:eastAsia="Constantia" w:hAnsiTheme="minorHAnsi" w:cs="Calibri"/>
          <w:color w:val="000000"/>
        </w:rPr>
        <w:t xml:space="preserve">or state appropriations and is </w:t>
      </w:r>
      <w:r w:rsidRPr="0096671D">
        <w:rPr>
          <w:rFonts w:asciiTheme="minorHAnsi" w:eastAsia="Constantia" w:hAnsiTheme="minorHAnsi" w:cs="Calibri"/>
          <w:color w:val="000000"/>
        </w:rPr>
        <w:t>100% industry funded. As mandated by Congress, NORA directs annual fee receipts to support (1) Consumer Education, Safety &amp; Training; (2) Research, Development &amp; Demonstration; and (3) Heating Oil Efficiency &amp;</w:t>
      </w:r>
      <w:r w:rsidR="00B66738" w:rsidRPr="0096671D">
        <w:rPr>
          <w:rFonts w:asciiTheme="minorHAnsi" w:eastAsia="Constantia" w:hAnsiTheme="minorHAnsi" w:cs="Calibri"/>
          <w:color w:val="000000"/>
        </w:rPr>
        <w:t xml:space="preserve"> </w:t>
      </w:r>
      <w:r w:rsidRPr="0096671D">
        <w:rPr>
          <w:rFonts w:asciiTheme="minorHAnsi" w:eastAsia="Constantia" w:hAnsiTheme="minorHAnsi" w:cs="Calibri"/>
          <w:color w:val="000000"/>
        </w:rPr>
        <w:t>Upgrade Program.</w:t>
      </w:r>
    </w:p>
    <w:p w14:paraId="07B19DE8" w14:textId="77777777" w:rsidR="00A47980" w:rsidRPr="0096671D" w:rsidRDefault="00A47980" w:rsidP="005E6D29">
      <w:pPr>
        <w:contextualSpacing/>
        <w:textAlignment w:val="baseline"/>
        <w:rPr>
          <w:rFonts w:asciiTheme="minorHAnsi" w:eastAsia="Constantia" w:hAnsiTheme="minorHAnsi" w:cs="Calibri"/>
          <w:color w:val="000000"/>
        </w:rPr>
      </w:pPr>
    </w:p>
    <w:p w14:paraId="44038C85" w14:textId="77777777" w:rsidR="00543BBE" w:rsidRPr="0096671D" w:rsidRDefault="0096671D" w:rsidP="005E6D29">
      <w:pPr>
        <w:pStyle w:val="Heading1"/>
        <w:spacing w:line="240" w:lineRule="auto"/>
        <w:ind w:left="-5" w:firstLine="0"/>
        <w:contextualSpacing/>
        <w:rPr>
          <w:rFonts w:asciiTheme="minorHAnsi" w:hAnsiTheme="minorHAnsi" w:cs="Calibri"/>
          <w:b w:val="0"/>
          <w:color w:val="215E99" w:themeColor="text2" w:themeTint="BF"/>
        </w:rPr>
      </w:pPr>
      <w:r w:rsidRPr="0096671D">
        <w:rPr>
          <w:rFonts w:asciiTheme="minorHAnsi" w:eastAsia="Aptos" w:hAnsiTheme="minorHAnsi" w:cs="Calibri"/>
          <w:sz w:val="24"/>
          <w:szCs w:val="24"/>
        </w:rPr>
        <w:t>NORA</w:t>
      </w:r>
      <w:r w:rsidRPr="0096671D">
        <w:rPr>
          <w:rFonts w:asciiTheme="minorHAnsi" w:hAnsiTheme="minorHAnsi" w:cs="Calibri"/>
          <w:color w:val="215E99" w:themeColor="text2" w:themeTint="BF"/>
        </w:rPr>
        <w:t xml:space="preserve"> </w:t>
      </w:r>
      <w:r w:rsidRPr="0096671D">
        <w:rPr>
          <w:rFonts w:asciiTheme="minorHAnsi" w:eastAsia="Aptos" w:hAnsiTheme="minorHAnsi" w:cs="Calibri"/>
          <w:sz w:val="24"/>
          <w:szCs w:val="24"/>
        </w:rPr>
        <w:t>Initiatives</w:t>
      </w:r>
    </w:p>
    <w:p w14:paraId="5732AFD8" w14:textId="77777777" w:rsidR="00B66738" w:rsidRPr="0096671D" w:rsidRDefault="00B66738" w:rsidP="005E6D29">
      <w:pPr>
        <w:ind w:right="288"/>
        <w:contextualSpacing/>
        <w:textAlignment w:val="baseline"/>
        <w:rPr>
          <w:rFonts w:asciiTheme="minorHAnsi" w:eastAsia="Constantia" w:hAnsiTheme="minorHAnsi" w:cs="Calibri"/>
          <w:color w:val="000000"/>
          <w:sz w:val="4"/>
          <w:szCs w:val="4"/>
        </w:rPr>
      </w:pPr>
    </w:p>
    <w:p w14:paraId="4E90D007" w14:textId="77777777" w:rsidR="00B66738" w:rsidRPr="0096671D" w:rsidRDefault="0096671D" w:rsidP="005E6D29">
      <w:pPr>
        <w:pStyle w:val="Heading1"/>
        <w:spacing w:line="240" w:lineRule="auto"/>
        <w:ind w:left="720" w:hanging="360"/>
        <w:contextualSpacing/>
        <w:rPr>
          <w:rFonts w:asciiTheme="minorHAnsi" w:hAnsiTheme="minorHAnsi" w:cs="Calibri"/>
          <w:b w:val="0"/>
          <w:bCs/>
          <w:smallCaps/>
          <w:color w:val="215E99" w:themeColor="text2" w:themeTint="BF"/>
        </w:rPr>
      </w:pPr>
      <w:r w:rsidRPr="0096671D">
        <w:rPr>
          <w:rFonts w:asciiTheme="minorHAnsi" w:eastAsia="Aptos" w:hAnsiTheme="minorHAnsi" w:cs="Calibri"/>
          <w:sz w:val="24"/>
          <w:szCs w:val="24"/>
        </w:rPr>
        <w:t>Consumer</w:t>
      </w:r>
      <w:r w:rsidRPr="0096671D">
        <w:rPr>
          <w:rFonts w:asciiTheme="minorHAnsi" w:hAnsiTheme="minorHAnsi" w:cs="Calibri"/>
          <w:bCs/>
          <w:smallCaps/>
          <w:color w:val="215E99" w:themeColor="text2" w:themeTint="BF"/>
        </w:rPr>
        <w:t xml:space="preserve"> </w:t>
      </w:r>
      <w:r w:rsidRPr="0096671D">
        <w:rPr>
          <w:rFonts w:asciiTheme="minorHAnsi" w:eastAsia="Aptos" w:hAnsiTheme="minorHAnsi" w:cs="Calibri"/>
          <w:sz w:val="24"/>
          <w:szCs w:val="24"/>
        </w:rPr>
        <w:t>Education, Safety &amp; Training</w:t>
      </w:r>
      <w:r w:rsidRPr="0096671D">
        <w:rPr>
          <w:rFonts w:asciiTheme="minorHAnsi" w:hAnsiTheme="minorHAnsi" w:cs="Calibri"/>
          <w:bCs/>
          <w:smallCaps/>
          <w:color w:val="215E99" w:themeColor="text2" w:themeTint="BF"/>
        </w:rPr>
        <w:t xml:space="preserve"> </w:t>
      </w:r>
    </w:p>
    <w:p w14:paraId="24897F3A" w14:textId="77777777" w:rsidR="00B66738" w:rsidRPr="0096671D" w:rsidRDefault="00B66738" w:rsidP="005E6D29">
      <w:pPr>
        <w:ind w:right="288"/>
        <w:contextualSpacing/>
        <w:textAlignment w:val="baseline"/>
        <w:rPr>
          <w:rFonts w:asciiTheme="minorHAnsi" w:eastAsia="Constantia" w:hAnsiTheme="minorHAnsi" w:cs="Calibri"/>
          <w:color w:val="000000"/>
        </w:rPr>
      </w:pPr>
    </w:p>
    <w:p w14:paraId="49E29003" w14:textId="77777777" w:rsidR="00B66738" w:rsidRPr="0096671D" w:rsidRDefault="0096671D" w:rsidP="005E6D29">
      <w:pPr>
        <w:ind w:right="2250"/>
        <w:contextualSpacing/>
        <w:textAlignment w:val="baseline"/>
        <w:rPr>
          <w:rFonts w:asciiTheme="minorHAnsi" w:eastAsia="Constantia" w:hAnsiTheme="minorHAnsi" w:cs="Calibri"/>
          <w:b/>
          <w:color w:val="000000"/>
          <w:lang w:val="x-none"/>
        </w:rPr>
      </w:pPr>
      <w:r w:rsidRPr="0096671D">
        <w:rPr>
          <w:rFonts w:asciiTheme="minorHAnsi" w:eastAsia="Constantia" w:hAnsiTheme="minorHAnsi" w:cs="Calibri"/>
          <w:b/>
          <w:noProof/>
          <w:color w:val="000000"/>
          <w:lang w:val="x-none"/>
        </w:rPr>
        <w:drawing>
          <wp:anchor distT="0" distB="0" distL="114300" distR="114300" simplePos="0" relativeHeight="251658240" behindDoc="1" locked="0" layoutInCell="1" allowOverlap="1" wp14:anchorId="0D5212E3" wp14:editId="20AB5234">
            <wp:simplePos x="0" y="0"/>
            <wp:positionH relativeFrom="margin">
              <wp:posOffset>5527040</wp:posOffset>
            </wp:positionH>
            <wp:positionV relativeFrom="paragraph">
              <wp:posOffset>50165</wp:posOffset>
            </wp:positionV>
            <wp:extent cx="1370330" cy="819150"/>
            <wp:effectExtent l="0" t="0" r="1270" b="0"/>
            <wp:wrapSquare wrapText="bothSides"/>
            <wp:docPr id="28817860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178607" name="Picture 288178607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033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6671D">
        <w:rPr>
          <w:rFonts w:asciiTheme="minorHAnsi" w:eastAsia="Constantia" w:hAnsiTheme="minorHAnsi" w:cs="Calibri"/>
          <w:b/>
          <w:color w:val="000000"/>
          <w:lang w:val="x-none"/>
        </w:rPr>
        <w:t>Technician Certification Program—certifications, continuing education &amp; workforce training for entry-level &amp; experienced liquid fuel service technicians</w:t>
      </w:r>
    </w:p>
    <w:p w14:paraId="13BBA8EC" w14:textId="77777777" w:rsidR="00B66738" w:rsidRPr="0096671D" w:rsidRDefault="0096671D" w:rsidP="005E6D29">
      <w:pPr>
        <w:pStyle w:val="ListParagraph"/>
        <w:numPr>
          <w:ilvl w:val="0"/>
          <w:numId w:val="2"/>
        </w:numPr>
        <w:ind w:right="2250"/>
        <w:textAlignment w:val="baseline"/>
        <w:rPr>
          <w:rFonts w:asciiTheme="minorHAnsi" w:eastAsia="Constantia" w:hAnsiTheme="minorHAnsi" w:cs="Calibri"/>
          <w:color w:val="000000"/>
          <w:lang w:val="x-none"/>
        </w:rPr>
      </w:pPr>
      <w:r w:rsidRPr="0096671D">
        <w:rPr>
          <w:rFonts w:asciiTheme="minorHAnsi" w:eastAsia="Constantia" w:hAnsiTheme="minorHAnsi" w:cs="Calibri"/>
          <w:color w:val="000000"/>
          <w:lang w:val="x-none"/>
        </w:rPr>
        <w:t>Recognized Technician Certification for the liquid heating fuels industry</w:t>
      </w:r>
    </w:p>
    <w:p w14:paraId="214C1371" w14:textId="77777777" w:rsidR="00B66738" w:rsidRPr="0096671D" w:rsidRDefault="0096671D" w:rsidP="005E6D29">
      <w:pPr>
        <w:pStyle w:val="ListParagraph"/>
        <w:numPr>
          <w:ilvl w:val="0"/>
          <w:numId w:val="2"/>
        </w:numPr>
        <w:ind w:right="2250"/>
        <w:textAlignment w:val="baseline"/>
        <w:rPr>
          <w:rFonts w:asciiTheme="minorHAnsi" w:eastAsia="Constantia" w:hAnsiTheme="minorHAnsi" w:cs="Calibri"/>
          <w:color w:val="000000"/>
          <w:lang w:val="x-none"/>
        </w:rPr>
      </w:pPr>
      <w:r w:rsidRPr="0096671D">
        <w:rPr>
          <w:rFonts w:asciiTheme="minorHAnsi" w:eastAsia="Constantia" w:hAnsiTheme="minorHAnsi" w:cs="Calibri"/>
          <w:color w:val="000000"/>
          <w:lang w:val="x-none"/>
        </w:rPr>
        <w:t>NORA Silver Certification is required to practice in New Hampshire, Vermont and Putnam County, NY</w:t>
      </w:r>
    </w:p>
    <w:p w14:paraId="7E92A83E" w14:textId="77777777" w:rsidR="00B66738" w:rsidRPr="0096671D" w:rsidRDefault="0096671D" w:rsidP="005E6D29">
      <w:pPr>
        <w:pStyle w:val="ListParagraph"/>
        <w:numPr>
          <w:ilvl w:val="0"/>
          <w:numId w:val="2"/>
        </w:numPr>
        <w:ind w:right="2250"/>
        <w:textAlignment w:val="baseline"/>
        <w:rPr>
          <w:rFonts w:asciiTheme="minorHAnsi" w:eastAsia="Constantia" w:hAnsiTheme="minorHAnsi" w:cs="Calibri"/>
          <w:color w:val="000000"/>
          <w:lang w:val="x-none"/>
        </w:rPr>
      </w:pPr>
      <w:r w:rsidRPr="0096671D">
        <w:rPr>
          <w:rFonts w:asciiTheme="minorHAnsi" w:eastAsia="Constantia" w:hAnsiTheme="minorHAnsi" w:cs="Calibri"/>
          <w:color w:val="000000"/>
          <w:lang w:val="x-none"/>
        </w:rPr>
        <w:t>Online &amp; in-person training at State association training centers, technical high schools &amp; community colleges</w:t>
      </w:r>
    </w:p>
    <w:p w14:paraId="5B4D5CB1" w14:textId="77777777" w:rsidR="00B66738" w:rsidRPr="0096671D" w:rsidRDefault="0096671D" w:rsidP="005E6D29">
      <w:pPr>
        <w:pStyle w:val="ListParagraph"/>
        <w:numPr>
          <w:ilvl w:val="0"/>
          <w:numId w:val="2"/>
        </w:numPr>
        <w:ind w:right="2250"/>
        <w:textAlignment w:val="baseline"/>
        <w:rPr>
          <w:rFonts w:asciiTheme="minorHAnsi" w:eastAsia="Constantia" w:hAnsiTheme="minorHAnsi" w:cs="Calibri"/>
          <w:color w:val="000000"/>
          <w:lang w:val="x-none"/>
        </w:rPr>
      </w:pPr>
      <w:r w:rsidRPr="0096671D">
        <w:rPr>
          <w:rFonts w:asciiTheme="minorHAnsi" w:eastAsia="Constantia" w:hAnsiTheme="minorHAnsi" w:cs="Calibri"/>
          <w:color w:val="000000"/>
          <w:lang w:val="x-none"/>
        </w:rPr>
        <w:t>NORA Bronze apprenticeship program offers a professional pathway for student and entry-level technicians</w:t>
      </w:r>
    </w:p>
    <w:p w14:paraId="41E9CA0B" w14:textId="77777777" w:rsidR="00B66738" w:rsidRPr="0096671D" w:rsidRDefault="00B66738" w:rsidP="005E6D29">
      <w:pPr>
        <w:ind w:right="288"/>
        <w:contextualSpacing/>
        <w:textAlignment w:val="baseline"/>
        <w:rPr>
          <w:rFonts w:asciiTheme="minorHAnsi" w:eastAsia="Constantia" w:hAnsiTheme="minorHAnsi" w:cs="Calibri"/>
          <w:color w:val="000000"/>
        </w:rPr>
      </w:pPr>
    </w:p>
    <w:p w14:paraId="40F8D65F" w14:textId="77777777" w:rsidR="00B66738" w:rsidRPr="0096671D" w:rsidRDefault="0096671D" w:rsidP="005E6D29">
      <w:pPr>
        <w:pStyle w:val="Heading1"/>
        <w:spacing w:line="240" w:lineRule="auto"/>
        <w:ind w:left="720" w:hanging="360"/>
        <w:contextualSpacing/>
        <w:rPr>
          <w:rFonts w:asciiTheme="minorHAnsi" w:eastAsia="Aptos" w:hAnsiTheme="minorHAnsi" w:cs="Calibri"/>
          <w:sz w:val="24"/>
          <w:szCs w:val="24"/>
        </w:rPr>
      </w:pPr>
      <w:r w:rsidRPr="0096671D">
        <w:rPr>
          <w:rFonts w:asciiTheme="minorHAnsi" w:eastAsia="Aptos" w:hAnsiTheme="minorHAnsi" w:cs="Calibri"/>
          <w:sz w:val="24"/>
          <w:szCs w:val="24"/>
        </w:rPr>
        <w:t>Research, Development &amp; Demonstration (RD&amp;D)</w:t>
      </w:r>
    </w:p>
    <w:p w14:paraId="2544D434" w14:textId="77777777" w:rsidR="00A47980" w:rsidRPr="0096671D" w:rsidRDefault="00A47980" w:rsidP="005E6D29">
      <w:pPr>
        <w:contextualSpacing/>
        <w:rPr>
          <w:rFonts w:asciiTheme="minorHAnsi" w:hAnsiTheme="minorHAnsi" w:cs="Calibri"/>
        </w:rPr>
      </w:pPr>
    </w:p>
    <w:p w14:paraId="5C8D92A0" w14:textId="77777777" w:rsidR="00B66738" w:rsidRPr="0096671D" w:rsidRDefault="0096671D" w:rsidP="005E6D29">
      <w:pPr>
        <w:autoSpaceDE w:val="0"/>
        <w:autoSpaceDN w:val="0"/>
        <w:adjustRightInd w:val="0"/>
        <w:snapToGrid w:val="0"/>
        <w:ind w:right="2430"/>
        <w:contextualSpacing/>
        <w:rPr>
          <w:rFonts w:asciiTheme="minorHAnsi" w:eastAsia="Times New Roman" w:hAnsiTheme="minorHAnsi" w:cs="Calibri"/>
          <w:b/>
          <w:color w:val="000000"/>
          <w:lang w:val="x-none"/>
        </w:rPr>
      </w:pPr>
      <w:r w:rsidRPr="0096671D">
        <w:rPr>
          <w:rFonts w:asciiTheme="minorHAnsi" w:eastAsia="Aptos" w:hAnsiTheme="minorHAnsi" w:cs="Calibri"/>
          <w:noProof/>
          <w:color w:val="0070C0"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677D5028" wp14:editId="4D79025F">
            <wp:simplePos x="0" y="0"/>
            <wp:positionH relativeFrom="margin">
              <wp:posOffset>5534273</wp:posOffset>
            </wp:positionH>
            <wp:positionV relativeFrom="paragraph">
              <wp:posOffset>90584</wp:posOffset>
            </wp:positionV>
            <wp:extent cx="1371600" cy="753548"/>
            <wp:effectExtent l="0" t="0" r="0" b="8890"/>
            <wp:wrapSquare wrapText="bothSides"/>
            <wp:docPr id="26108189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081890" name="Picture 261081890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7535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6671D">
        <w:rPr>
          <w:rFonts w:asciiTheme="minorHAnsi" w:eastAsia="Times New Roman" w:hAnsiTheme="minorHAnsi" w:cs="Calibri"/>
          <w:b/>
          <w:color w:val="000000"/>
          <w:lang w:val="x-none"/>
        </w:rPr>
        <w:t>NORA’s RD&amp;D results deliver consumer products that reduce emissions &amp; lower energy costs for hardworking Americans.</w:t>
      </w:r>
    </w:p>
    <w:p w14:paraId="3E3EE5C2" w14:textId="77777777" w:rsidR="00B66738" w:rsidRPr="0096671D" w:rsidRDefault="0096671D" w:rsidP="005E6D29">
      <w:pPr>
        <w:pStyle w:val="ListParagraph"/>
        <w:numPr>
          <w:ilvl w:val="0"/>
          <w:numId w:val="3"/>
        </w:numPr>
        <w:autoSpaceDE w:val="0"/>
        <w:autoSpaceDN w:val="0"/>
        <w:adjustRightInd w:val="0"/>
        <w:snapToGrid w:val="0"/>
        <w:ind w:right="2430"/>
        <w:rPr>
          <w:rFonts w:asciiTheme="minorHAnsi" w:eastAsia="Times New Roman" w:hAnsiTheme="minorHAnsi" w:cs="Calibri"/>
          <w:color w:val="000000"/>
          <w:lang w:val="x-none"/>
        </w:rPr>
      </w:pPr>
      <w:r w:rsidRPr="0096671D">
        <w:rPr>
          <w:rFonts w:asciiTheme="minorHAnsi" w:eastAsia="Times New Roman" w:hAnsiTheme="minorHAnsi" w:cs="Calibri"/>
          <w:color w:val="000000"/>
          <w:lang w:val="x-none"/>
        </w:rPr>
        <w:t>Bioheat® fuel, an efficient and direct path to lowering emissions from homes</w:t>
      </w:r>
    </w:p>
    <w:p w14:paraId="0E0110F5" w14:textId="77777777" w:rsidR="00B66738" w:rsidRPr="0096671D" w:rsidRDefault="0096671D" w:rsidP="005E6D29">
      <w:pPr>
        <w:pStyle w:val="ListParagraph"/>
        <w:numPr>
          <w:ilvl w:val="0"/>
          <w:numId w:val="3"/>
        </w:numPr>
        <w:autoSpaceDE w:val="0"/>
        <w:autoSpaceDN w:val="0"/>
        <w:adjustRightInd w:val="0"/>
        <w:snapToGrid w:val="0"/>
        <w:ind w:right="2430"/>
        <w:rPr>
          <w:rFonts w:asciiTheme="minorHAnsi" w:eastAsia="Times New Roman" w:hAnsiTheme="minorHAnsi" w:cs="Calibri"/>
          <w:color w:val="000000"/>
          <w:lang w:val="x-none"/>
        </w:rPr>
      </w:pPr>
      <w:r w:rsidRPr="0096671D">
        <w:rPr>
          <w:rFonts w:asciiTheme="minorHAnsi" w:eastAsia="Times New Roman" w:hAnsiTheme="minorHAnsi" w:cs="Calibri"/>
          <w:color w:val="000000"/>
          <w:lang w:val="x-none"/>
        </w:rPr>
        <w:t>Advanced heating systems that can operate with renewable biofuels</w:t>
      </w:r>
    </w:p>
    <w:p w14:paraId="59F4336F" w14:textId="77777777" w:rsidR="00B66738" w:rsidRPr="0096671D" w:rsidRDefault="0096671D" w:rsidP="005E6D29">
      <w:pPr>
        <w:pStyle w:val="ListParagraph"/>
        <w:numPr>
          <w:ilvl w:val="0"/>
          <w:numId w:val="3"/>
        </w:numPr>
        <w:autoSpaceDE w:val="0"/>
        <w:autoSpaceDN w:val="0"/>
        <w:adjustRightInd w:val="0"/>
        <w:snapToGrid w:val="0"/>
        <w:ind w:right="2430"/>
        <w:rPr>
          <w:rFonts w:asciiTheme="minorHAnsi" w:eastAsia="Times New Roman" w:hAnsiTheme="minorHAnsi" w:cs="Calibri"/>
          <w:color w:val="000000"/>
          <w:lang w:val="x-none"/>
        </w:rPr>
      </w:pPr>
      <w:r w:rsidRPr="0096671D">
        <w:rPr>
          <w:rFonts w:asciiTheme="minorHAnsi" w:eastAsia="Times New Roman" w:hAnsiTheme="minorHAnsi" w:cs="Calibri"/>
          <w:color w:val="000000"/>
          <w:lang w:val="x-none"/>
        </w:rPr>
        <w:t>Advanced research for storing, handling and utilizing alternative fuels</w:t>
      </w:r>
    </w:p>
    <w:p w14:paraId="08661E84" w14:textId="77777777" w:rsidR="00B66738" w:rsidRPr="0096671D" w:rsidRDefault="0096671D" w:rsidP="005E6D29">
      <w:pPr>
        <w:pStyle w:val="ListParagraph"/>
        <w:numPr>
          <w:ilvl w:val="0"/>
          <w:numId w:val="3"/>
        </w:numPr>
        <w:autoSpaceDE w:val="0"/>
        <w:autoSpaceDN w:val="0"/>
        <w:adjustRightInd w:val="0"/>
        <w:snapToGrid w:val="0"/>
        <w:ind w:right="2430"/>
        <w:rPr>
          <w:rFonts w:asciiTheme="minorHAnsi" w:eastAsia="Times New Roman" w:hAnsiTheme="minorHAnsi" w:cs="Calibri"/>
          <w:color w:val="000000"/>
          <w:lang w:val="x-none"/>
        </w:rPr>
      </w:pPr>
      <w:r w:rsidRPr="0096671D">
        <w:rPr>
          <w:rFonts w:asciiTheme="minorHAnsi" w:eastAsia="Times New Roman" w:hAnsiTheme="minorHAnsi" w:cs="Calibri"/>
          <w:color w:val="000000"/>
          <w:lang w:val="x-none"/>
        </w:rPr>
        <w:t>Partnering with appliance manufacturers to advance efficiency, operability, &amp; safety of home heating systems</w:t>
      </w:r>
    </w:p>
    <w:p w14:paraId="50AD64BA" w14:textId="77777777" w:rsidR="00B66738" w:rsidRPr="0096671D" w:rsidRDefault="0096671D" w:rsidP="005E6D29">
      <w:pPr>
        <w:pStyle w:val="ListParagraph"/>
        <w:numPr>
          <w:ilvl w:val="0"/>
          <w:numId w:val="3"/>
        </w:numPr>
        <w:autoSpaceDE w:val="0"/>
        <w:autoSpaceDN w:val="0"/>
        <w:adjustRightInd w:val="0"/>
        <w:snapToGrid w:val="0"/>
        <w:ind w:right="2430"/>
        <w:rPr>
          <w:rFonts w:asciiTheme="minorHAnsi" w:eastAsia="Times New Roman" w:hAnsiTheme="minorHAnsi" w:cs="Calibri"/>
          <w:color w:val="000000"/>
          <w:szCs w:val="24"/>
          <w:lang w:val="x-none"/>
        </w:rPr>
      </w:pPr>
      <w:r w:rsidRPr="0096671D">
        <w:rPr>
          <w:rFonts w:asciiTheme="minorHAnsi" w:eastAsia="Times New Roman" w:hAnsiTheme="minorHAnsi" w:cs="Calibri"/>
          <w:color w:val="000000"/>
          <w:lang w:val="x-none"/>
        </w:rPr>
        <w:t>NORA’s RD&amp;D activities are conducted at the Country’s first liquid heating fuels research center in Plainview, NY</w:t>
      </w:r>
    </w:p>
    <w:p w14:paraId="26FE04F2" w14:textId="77777777" w:rsidR="00B66738" w:rsidRPr="0096671D" w:rsidRDefault="00B66738" w:rsidP="005E6D29">
      <w:pPr>
        <w:ind w:right="288"/>
        <w:contextualSpacing/>
        <w:textAlignment w:val="baseline"/>
        <w:rPr>
          <w:rFonts w:asciiTheme="minorHAnsi" w:eastAsia="Constantia" w:hAnsiTheme="minorHAnsi" w:cs="Calibri"/>
          <w:color w:val="000000"/>
        </w:rPr>
      </w:pPr>
    </w:p>
    <w:p w14:paraId="7A10756D" w14:textId="77777777" w:rsidR="00B66738" w:rsidRPr="0096671D" w:rsidRDefault="0096671D" w:rsidP="005E6D29">
      <w:pPr>
        <w:pStyle w:val="Heading1"/>
        <w:spacing w:line="240" w:lineRule="auto"/>
        <w:ind w:left="720" w:hanging="360"/>
        <w:contextualSpacing/>
        <w:rPr>
          <w:rFonts w:asciiTheme="minorHAnsi" w:eastAsia="Aptos" w:hAnsiTheme="minorHAnsi" w:cs="Calibri"/>
          <w:sz w:val="24"/>
          <w:szCs w:val="24"/>
        </w:rPr>
      </w:pPr>
      <w:r w:rsidRPr="0096671D">
        <w:rPr>
          <w:rFonts w:asciiTheme="minorHAnsi" w:eastAsia="Aptos" w:hAnsiTheme="minorHAnsi" w:cs="Calibri"/>
          <w:sz w:val="24"/>
          <w:szCs w:val="24"/>
        </w:rPr>
        <w:t>Heating Oil Efficiency &amp; Upgrade Program</w:t>
      </w:r>
    </w:p>
    <w:p w14:paraId="6475DBAB" w14:textId="77777777" w:rsidR="00B66738" w:rsidRPr="0096671D" w:rsidRDefault="00B66738" w:rsidP="005E6D29">
      <w:pPr>
        <w:ind w:right="288"/>
        <w:contextualSpacing/>
        <w:textAlignment w:val="baseline"/>
        <w:rPr>
          <w:rFonts w:asciiTheme="minorHAnsi" w:eastAsia="Constantia" w:hAnsiTheme="minorHAnsi" w:cs="Calibri"/>
          <w:color w:val="000000"/>
        </w:rPr>
      </w:pPr>
    </w:p>
    <w:p w14:paraId="18791FBE" w14:textId="77777777" w:rsidR="00B66738" w:rsidRPr="0096671D" w:rsidRDefault="0096671D" w:rsidP="005E6D29">
      <w:pPr>
        <w:autoSpaceDE w:val="0"/>
        <w:autoSpaceDN w:val="0"/>
        <w:adjustRightInd w:val="0"/>
        <w:snapToGrid w:val="0"/>
        <w:contextualSpacing/>
        <w:rPr>
          <w:rFonts w:asciiTheme="minorHAnsi" w:eastAsia="Times New Roman" w:hAnsiTheme="minorHAnsi" w:cs="Calibri"/>
          <w:b/>
          <w:color w:val="000000"/>
          <w:lang w:val="x-none"/>
        </w:rPr>
      </w:pPr>
      <w:r w:rsidRPr="0096671D">
        <w:rPr>
          <w:rFonts w:asciiTheme="minorHAnsi" w:eastAsia="Times New Roman" w:hAnsiTheme="minorHAnsi" w:cs="Calibri"/>
          <w:noProof/>
          <w:color w:val="000000"/>
          <w:szCs w:val="24"/>
          <w:lang w:val="x-none"/>
        </w:rPr>
        <w:drawing>
          <wp:anchor distT="0" distB="0" distL="114300" distR="114300" simplePos="0" relativeHeight="251660288" behindDoc="1" locked="0" layoutInCell="1" allowOverlap="1" wp14:anchorId="365CC94F" wp14:editId="20A3AA87">
            <wp:simplePos x="0" y="0"/>
            <wp:positionH relativeFrom="column">
              <wp:posOffset>5529525</wp:posOffset>
            </wp:positionH>
            <wp:positionV relativeFrom="paragraph">
              <wp:posOffset>40419</wp:posOffset>
            </wp:positionV>
            <wp:extent cx="1371600" cy="791845"/>
            <wp:effectExtent l="0" t="0" r="0" b="8255"/>
            <wp:wrapSquare wrapText="bothSides"/>
            <wp:docPr id="106510466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104661" name="Picture 106510466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791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6671D">
        <w:rPr>
          <w:rFonts w:asciiTheme="minorHAnsi" w:eastAsia="Times New Roman" w:hAnsiTheme="minorHAnsi" w:cs="Calibri"/>
          <w:b/>
          <w:color w:val="000000"/>
          <w:lang w:val="x-none"/>
        </w:rPr>
        <w:t>Heating Appliance Upgrade Program—helping thousands of homeowners upgrade</w:t>
      </w:r>
    </w:p>
    <w:p w14:paraId="79C36FB9" w14:textId="77777777" w:rsidR="00B66738" w:rsidRPr="0096671D" w:rsidRDefault="0096671D" w:rsidP="005E6D29">
      <w:pPr>
        <w:autoSpaceDE w:val="0"/>
        <w:autoSpaceDN w:val="0"/>
        <w:adjustRightInd w:val="0"/>
        <w:snapToGrid w:val="0"/>
        <w:contextualSpacing/>
        <w:rPr>
          <w:rFonts w:asciiTheme="minorHAnsi" w:eastAsia="Times New Roman" w:hAnsiTheme="minorHAnsi" w:cs="Calibri"/>
          <w:b/>
          <w:color w:val="000000"/>
          <w:lang w:val="x-none"/>
        </w:rPr>
      </w:pPr>
      <w:r w:rsidRPr="0096671D">
        <w:rPr>
          <w:rFonts w:asciiTheme="minorHAnsi" w:eastAsia="Times New Roman" w:hAnsiTheme="minorHAnsi" w:cs="Calibri"/>
          <w:b/>
          <w:color w:val="000000"/>
          <w:lang w:val="x-none"/>
        </w:rPr>
        <w:t>to a more efficient heating system.</w:t>
      </w:r>
    </w:p>
    <w:p w14:paraId="59A1F2C8" w14:textId="77777777" w:rsidR="00B66738" w:rsidRPr="0096671D" w:rsidRDefault="0096671D" w:rsidP="005E6D29">
      <w:pPr>
        <w:autoSpaceDE w:val="0"/>
        <w:autoSpaceDN w:val="0"/>
        <w:adjustRightInd w:val="0"/>
        <w:snapToGrid w:val="0"/>
        <w:contextualSpacing/>
        <w:rPr>
          <w:rFonts w:asciiTheme="minorHAnsi" w:eastAsia="Times New Roman" w:hAnsiTheme="minorHAnsi" w:cs="Calibri"/>
          <w:color w:val="000000"/>
          <w:lang w:val="x-none"/>
        </w:rPr>
      </w:pPr>
      <w:r w:rsidRPr="0096671D">
        <w:rPr>
          <w:rFonts w:asciiTheme="minorHAnsi" w:eastAsia="Times New Roman" w:hAnsiTheme="minorHAnsi" w:cs="Calibri"/>
          <w:color w:val="000000"/>
          <w:lang w:val="x-none"/>
        </w:rPr>
        <w:t>NORA has completed over 16,500 upgrades in 21 states. Since January, 2021 upgrades have resulted in:</w:t>
      </w:r>
    </w:p>
    <w:p w14:paraId="34EBD61F" w14:textId="77777777" w:rsidR="00B66738" w:rsidRPr="0096671D" w:rsidRDefault="0096671D" w:rsidP="005E6D29">
      <w:pPr>
        <w:pStyle w:val="ListParagraph"/>
        <w:numPr>
          <w:ilvl w:val="0"/>
          <w:numId w:val="4"/>
        </w:numPr>
        <w:autoSpaceDE w:val="0"/>
        <w:autoSpaceDN w:val="0"/>
        <w:adjustRightInd w:val="0"/>
        <w:snapToGrid w:val="0"/>
        <w:rPr>
          <w:rFonts w:asciiTheme="minorHAnsi" w:eastAsia="Times New Roman" w:hAnsiTheme="minorHAnsi" w:cs="Calibri"/>
          <w:color w:val="000000"/>
          <w:lang w:val="x-none"/>
        </w:rPr>
      </w:pPr>
      <w:r w:rsidRPr="0096671D">
        <w:rPr>
          <w:rFonts w:asciiTheme="minorHAnsi" w:eastAsia="Times New Roman" w:hAnsiTheme="minorHAnsi" w:cs="Calibri"/>
          <w:color w:val="000000"/>
          <w:lang w:val="x-none"/>
        </w:rPr>
        <w:t>Over 1.75 million gallons of total fuel savings each year due to the upgrade</w:t>
      </w:r>
    </w:p>
    <w:p w14:paraId="56823994" w14:textId="77777777" w:rsidR="00B66738" w:rsidRPr="0096671D" w:rsidRDefault="0096671D" w:rsidP="005E6D29">
      <w:pPr>
        <w:pStyle w:val="ListParagraph"/>
        <w:numPr>
          <w:ilvl w:val="0"/>
          <w:numId w:val="4"/>
        </w:numPr>
        <w:autoSpaceDE w:val="0"/>
        <w:autoSpaceDN w:val="0"/>
        <w:adjustRightInd w:val="0"/>
        <w:snapToGrid w:val="0"/>
        <w:rPr>
          <w:rFonts w:asciiTheme="minorHAnsi" w:eastAsia="Times New Roman" w:hAnsiTheme="minorHAnsi" w:cs="Calibri"/>
          <w:color w:val="000000"/>
          <w:lang w:val="x-none"/>
        </w:rPr>
      </w:pPr>
      <w:r w:rsidRPr="0096671D">
        <w:rPr>
          <w:rFonts w:asciiTheme="minorHAnsi" w:eastAsia="Times New Roman" w:hAnsiTheme="minorHAnsi" w:cs="Calibri"/>
          <w:color w:val="000000"/>
          <w:lang w:val="x-none"/>
        </w:rPr>
        <w:t>More than $6.3 million in total fuel cost savings each year due to the upgrade</w:t>
      </w:r>
    </w:p>
    <w:p w14:paraId="0FF61C96" w14:textId="6C6C0C17" w:rsidR="00B66738" w:rsidRPr="0096671D" w:rsidRDefault="0096671D" w:rsidP="005E6D29">
      <w:pPr>
        <w:pStyle w:val="ListParagraph"/>
        <w:numPr>
          <w:ilvl w:val="0"/>
          <w:numId w:val="4"/>
        </w:numPr>
        <w:autoSpaceDE w:val="0"/>
        <w:autoSpaceDN w:val="0"/>
        <w:adjustRightInd w:val="0"/>
        <w:snapToGrid w:val="0"/>
        <w:rPr>
          <w:rFonts w:asciiTheme="minorHAnsi" w:eastAsia="Times New Roman" w:hAnsiTheme="minorHAnsi" w:cs="Calibri"/>
          <w:color w:val="000000"/>
          <w:lang w:val="x-none"/>
        </w:rPr>
      </w:pPr>
      <w:r w:rsidRPr="0096671D">
        <w:rPr>
          <w:rFonts w:asciiTheme="minorHAnsi" w:eastAsia="Times New Roman" w:hAnsiTheme="minorHAnsi" w:cs="Calibri"/>
          <w:color w:val="000000"/>
          <w:lang w:val="x-none"/>
        </w:rPr>
        <w:t>Nearly 25,593 metric tons of total CO2 emissions each year due to the upgrade</w:t>
      </w:r>
    </w:p>
    <w:p w14:paraId="37FBB541" w14:textId="77777777" w:rsidR="005E6D29" w:rsidRPr="0096671D" w:rsidRDefault="005E6D29" w:rsidP="005E6D29">
      <w:pPr>
        <w:pStyle w:val="ListParagraph"/>
        <w:autoSpaceDE w:val="0"/>
        <w:autoSpaceDN w:val="0"/>
        <w:adjustRightInd w:val="0"/>
        <w:snapToGrid w:val="0"/>
        <w:rPr>
          <w:rFonts w:asciiTheme="minorHAnsi" w:eastAsia="Times New Roman" w:hAnsiTheme="minorHAnsi" w:cs="Calibri"/>
          <w:color w:val="000000"/>
          <w:lang w:val="x-none"/>
        </w:rPr>
      </w:pPr>
    </w:p>
    <w:p w14:paraId="6FB35578" w14:textId="77777777" w:rsidR="00543BBE" w:rsidRPr="0096671D" w:rsidRDefault="0096671D" w:rsidP="005E6D29">
      <w:pPr>
        <w:pStyle w:val="Heading1"/>
        <w:spacing w:line="240" w:lineRule="auto"/>
        <w:ind w:left="720" w:hanging="360"/>
        <w:contextualSpacing/>
        <w:rPr>
          <w:rFonts w:asciiTheme="minorHAnsi" w:eastAsia="Aptos" w:hAnsiTheme="minorHAnsi" w:cs="Calibri"/>
          <w:sz w:val="24"/>
          <w:szCs w:val="24"/>
        </w:rPr>
      </w:pPr>
      <w:r w:rsidRPr="0096671D">
        <w:rPr>
          <w:rFonts w:asciiTheme="minorHAnsi" w:eastAsia="Aptos" w:hAnsiTheme="minorHAnsi" w:cs="Calibri"/>
          <w:sz w:val="24"/>
          <w:szCs w:val="24"/>
        </w:rPr>
        <w:t>“The Ask”</w:t>
      </w:r>
    </w:p>
    <w:p w14:paraId="4DE2D886" w14:textId="77777777" w:rsidR="00A47980" w:rsidRPr="0096671D" w:rsidRDefault="00A47980" w:rsidP="005E6D29">
      <w:pPr>
        <w:contextualSpacing/>
        <w:rPr>
          <w:rFonts w:asciiTheme="minorHAnsi" w:hAnsiTheme="minorHAnsi" w:cs="Calibri"/>
        </w:rPr>
      </w:pPr>
    </w:p>
    <w:p w14:paraId="1299774E" w14:textId="77777777" w:rsidR="00A47980" w:rsidRPr="0096671D" w:rsidRDefault="0096671D" w:rsidP="005E6D29">
      <w:pPr>
        <w:pStyle w:val="Heading1"/>
        <w:spacing w:line="240" w:lineRule="auto"/>
        <w:ind w:left="720" w:hanging="360"/>
        <w:contextualSpacing/>
        <w:rPr>
          <w:rFonts w:asciiTheme="minorHAnsi" w:eastAsia="Aptos" w:hAnsiTheme="minorHAnsi" w:cs="Calibri"/>
          <w:sz w:val="24"/>
          <w:szCs w:val="24"/>
        </w:rPr>
      </w:pPr>
      <w:r w:rsidRPr="0096671D">
        <w:rPr>
          <w:rFonts w:asciiTheme="minorHAnsi" w:eastAsia="Aptos" w:hAnsiTheme="minorHAnsi" w:cs="Calibri"/>
          <w:sz w:val="24"/>
          <w:szCs w:val="24"/>
        </w:rPr>
        <w:t>Support NORA Reauthorization</w:t>
      </w:r>
    </w:p>
    <w:p w14:paraId="2482B105" w14:textId="77777777" w:rsidR="00A47980" w:rsidRPr="0096671D" w:rsidRDefault="00A47980" w:rsidP="005E6D29">
      <w:pPr>
        <w:contextualSpacing/>
        <w:rPr>
          <w:rFonts w:asciiTheme="minorHAnsi" w:hAnsiTheme="minorHAnsi" w:cs="Calibri"/>
        </w:rPr>
      </w:pPr>
    </w:p>
    <w:p w14:paraId="44CDE3CF" w14:textId="77777777" w:rsidR="00ED3133" w:rsidRPr="0096671D" w:rsidRDefault="0096671D" w:rsidP="005E6D29">
      <w:pPr>
        <w:autoSpaceDE w:val="0"/>
        <w:autoSpaceDN w:val="0"/>
        <w:adjustRightInd w:val="0"/>
        <w:snapToGrid w:val="0"/>
        <w:contextualSpacing/>
        <w:rPr>
          <w:rFonts w:asciiTheme="minorHAnsi" w:eastAsia="Times New Roman" w:hAnsiTheme="minorHAnsi" w:cs="Calibri"/>
          <w:b/>
          <w:bCs/>
          <w:color w:val="000000"/>
          <w:lang w:val="x-none"/>
        </w:rPr>
      </w:pPr>
      <w:r w:rsidRPr="0096671D">
        <w:rPr>
          <w:rFonts w:asciiTheme="minorHAnsi" w:eastAsia="Times New Roman" w:hAnsiTheme="minorHAnsi" w:cs="Calibri"/>
          <w:b/>
          <w:bCs/>
          <w:color w:val="000000"/>
          <w:lang w:val="x-none"/>
        </w:rPr>
        <w:t>NORA reauthorization is crucial for the liquid fuel heating industry to continue providing consumers with advanced alternative fuels, innovative technologies, and cost-savings.</w:t>
      </w:r>
      <w:r w:rsidR="00F1233C" w:rsidRPr="0096671D">
        <w:rPr>
          <w:rFonts w:asciiTheme="minorHAnsi" w:eastAsia="Times New Roman" w:hAnsiTheme="minorHAnsi" w:cs="Calibri"/>
          <w:b/>
          <w:bCs/>
          <w:color w:val="000000"/>
          <w:lang w:val="x-none"/>
        </w:rPr>
        <w:t xml:space="preserve"> </w:t>
      </w:r>
      <w:r w:rsidRPr="0096671D">
        <w:rPr>
          <w:rFonts w:asciiTheme="minorHAnsi" w:eastAsia="Times New Roman" w:hAnsiTheme="minorHAnsi" w:cs="Calibri"/>
          <w:color w:val="000000"/>
          <w:lang w:val="x-none"/>
        </w:rPr>
        <w:t xml:space="preserve">NORA has enjoyed bipartisan and bicameral support since its initial authorization in 2000. </w:t>
      </w:r>
    </w:p>
    <w:p w14:paraId="29A9519F" w14:textId="77777777" w:rsidR="00B66738" w:rsidRPr="0096671D" w:rsidRDefault="0096671D" w:rsidP="005E6D29">
      <w:pPr>
        <w:pStyle w:val="ListParagraph"/>
        <w:numPr>
          <w:ilvl w:val="0"/>
          <w:numId w:val="5"/>
        </w:numPr>
        <w:autoSpaceDE w:val="0"/>
        <w:autoSpaceDN w:val="0"/>
        <w:adjustRightInd w:val="0"/>
        <w:snapToGrid w:val="0"/>
        <w:rPr>
          <w:rFonts w:asciiTheme="minorHAnsi" w:eastAsia="Times New Roman" w:hAnsiTheme="minorHAnsi" w:cs="Calibri"/>
          <w:color w:val="000000"/>
          <w:lang w:val="x-none"/>
        </w:rPr>
      </w:pPr>
      <w:r w:rsidRPr="0096671D">
        <w:rPr>
          <w:rFonts w:asciiTheme="minorHAnsi" w:eastAsia="Times New Roman" w:hAnsiTheme="minorHAnsi" w:cs="Calibri"/>
          <w:color w:val="000000"/>
          <w:lang w:val="x-none"/>
        </w:rPr>
        <w:t xml:space="preserve">We urge Congress to provide a five-year extension of NORA by amending section 713 of the </w:t>
      </w:r>
      <w:r w:rsidRPr="0096671D">
        <w:rPr>
          <w:rFonts w:asciiTheme="minorHAnsi" w:eastAsia="Times New Roman" w:hAnsiTheme="minorHAnsi" w:cs="Calibri"/>
          <w:i/>
          <w:color w:val="000000"/>
          <w:lang w:val="x-none"/>
        </w:rPr>
        <w:t xml:space="preserve">National </w:t>
      </w:r>
      <w:proofErr w:type="spellStart"/>
      <w:r w:rsidRPr="0096671D">
        <w:rPr>
          <w:rFonts w:asciiTheme="minorHAnsi" w:eastAsia="Times New Roman" w:hAnsiTheme="minorHAnsi" w:cs="Calibri"/>
          <w:i/>
          <w:color w:val="000000"/>
          <w:lang w:val="x-none"/>
        </w:rPr>
        <w:t>Oilheat</w:t>
      </w:r>
      <w:proofErr w:type="spellEnd"/>
      <w:r w:rsidRPr="0096671D">
        <w:rPr>
          <w:rFonts w:asciiTheme="minorHAnsi" w:eastAsia="Times New Roman" w:hAnsiTheme="minorHAnsi" w:cs="Calibri"/>
          <w:i/>
          <w:color w:val="000000"/>
          <w:lang w:val="x-none"/>
        </w:rPr>
        <w:t xml:space="preserve"> Research Alliance Act of 2000 </w:t>
      </w:r>
      <w:r w:rsidRPr="0096671D">
        <w:rPr>
          <w:rFonts w:asciiTheme="minorHAnsi" w:eastAsia="Times New Roman" w:hAnsiTheme="minorHAnsi" w:cs="Calibri"/>
          <w:color w:val="000000"/>
          <w:lang w:val="x-none"/>
        </w:rPr>
        <w:t>(42 U.S.C. 6201 note; Public Law 106–469) to strike “28 years” and insert “33 years.”</w:t>
      </w:r>
    </w:p>
    <w:p w14:paraId="5FACF6EF" w14:textId="77777777" w:rsidR="00B66738" w:rsidRPr="004435DA" w:rsidRDefault="0096671D" w:rsidP="005E6D29">
      <w:pPr>
        <w:pStyle w:val="ListParagraph"/>
        <w:numPr>
          <w:ilvl w:val="0"/>
          <w:numId w:val="1"/>
        </w:numPr>
        <w:tabs>
          <w:tab w:val="clear" w:pos="360"/>
          <w:tab w:val="left" w:pos="720"/>
        </w:tabs>
        <w:autoSpaceDE w:val="0"/>
        <w:autoSpaceDN w:val="0"/>
        <w:adjustRightInd w:val="0"/>
        <w:snapToGrid w:val="0"/>
        <w:spacing w:before="9"/>
        <w:ind w:right="72" w:hanging="360"/>
        <w:textAlignment w:val="baseline"/>
        <w:rPr>
          <w:rFonts w:asciiTheme="minorHAnsi" w:eastAsia="Constantia" w:hAnsiTheme="minorHAnsi" w:cs="Calibri"/>
          <w:color w:val="000000"/>
        </w:rPr>
      </w:pPr>
      <w:r w:rsidRPr="0096671D">
        <w:rPr>
          <w:rFonts w:asciiTheme="minorHAnsi" w:eastAsia="Times New Roman" w:hAnsiTheme="minorHAnsi" w:cs="Calibri"/>
          <w:color w:val="000000"/>
          <w:lang w:val="x-none"/>
        </w:rPr>
        <w:t>An extension through October 1, 2035, provides NORA with the needed certainty to continue long-term research and development, real estate leases, education training certifications, and partnerships.</w:t>
      </w:r>
    </w:p>
    <w:p w14:paraId="3E15CE12" w14:textId="77777777" w:rsidR="004435DA" w:rsidRDefault="004435DA" w:rsidP="004435DA">
      <w:pPr>
        <w:tabs>
          <w:tab w:val="left" w:pos="360"/>
          <w:tab w:val="left" w:pos="720"/>
        </w:tabs>
        <w:autoSpaceDE w:val="0"/>
        <w:autoSpaceDN w:val="0"/>
        <w:adjustRightInd w:val="0"/>
        <w:snapToGrid w:val="0"/>
        <w:spacing w:before="9"/>
        <w:ind w:right="72"/>
        <w:textAlignment w:val="baseline"/>
        <w:rPr>
          <w:rFonts w:asciiTheme="minorHAnsi" w:eastAsia="Constantia" w:hAnsiTheme="minorHAnsi" w:cs="Calibri"/>
          <w:color w:val="000000"/>
        </w:rPr>
      </w:pPr>
    </w:p>
    <w:p w14:paraId="709AEC8B" w14:textId="16B33D5A" w:rsidR="001D3E6C" w:rsidRDefault="00636493" w:rsidP="001D3E6C">
      <w:pPr>
        <w:pStyle w:val="Heading1"/>
        <w:spacing w:line="240" w:lineRule="auto"/>
        <w:ind w:left="720" w:hanging="360"/>
        <w:contextualSpacing/>
        <w:rPr>
          <w:rFonts w:asciiTheme="minorHAnsi" w:eastAsia="Aptos" w:hAnsiTheme="minorHAnsi" w:cs="Calibri"/>
          <w:sz w:val="24"/>
          <w:szCs w:val="24"/>
        </w:rPr>
      </w:pPr>
      <w:r>
        <w:rPr>
          <w:rFonts w:asciiTheme="minorHAnsi" w:eastAsia="Aptos" w:hAnsiTheme="minorHAnsi" w:cs="Calibri"/>
          <w:sz w:val="24"/>
          <w:szCs w:val="24"/>
        </w:rPr>
        <w:t xml:space="preserve">Support Inclusion of </w:t>
      </w:r>
      <w:r w:rsidR="00E20AF0">
        <w:rPr>
          <w:rFonts w:asciiTheme="minorHAnsi" w:eastAsia="Aptos" w:hAnsiTheme="minorHAnsi" w:cs="Calibri"/>
          <w:sz w:val="24"/>
          <w:szCs w:val="24"/>
        </w:rPr>
        <w:t xml:space="preserve">the </w:t>
      </w:r>
      <w:r>
        <w:rPr>
          <w:rFonts w:asciiTheme="minorHAnsi" w:eastAsia="Aptos" w:hAnsiTheme="minorHAnsi" w:cs="Calibri"/>
          <w:sz w:val="24"/>
          <w:szCs w:val="24"/>
        </w:rPr>
        <w:t xml:space="preserve">25C </w:t>
      </w:r>
      <w:r w:rsidR="00A45DC0">
        <w:rPr>
          <w:rFonts w:asciiTheme="minorHAnsi" w:eastAsia="Aptos" w:hAnsiTheme="minorHAnsi" w:cs="Calibri"/>
          <w:sz w:val="24"/>
          <w:szCs w:val="24"/>
        </w:rPr>
        <w:t xml:space="preserve">Energy </w:t>
      </w:r>
      <w:r>
        <w:rPr>
          <w:rFonts w:asciiTheme="minorHAnsi" w:eastAsia="Aptos" w:hAnsiTheme="minorHAnsi" w:cs="Calibri"/>
          <w:sz w:val="24"/>
          <w:szCs w:val="24"/>
        </w:rPr>
        <w:t xml:space="preserve">Efficiency </w:t>
      </w:r>
      <w:r w:rsidR="00A45DC0">
        <w:rPr>
          <w:rFonts w:asciiTheme="minorHAnsi" w:eastAsia="Aptos" w:hAnsiTheme="minorHAnsi" w:cs="Calibri"/>
          <w:sz w:val="24"/>
          <w:szCs w:val="24"/>
        </w:rPr>
        <w:t xml:space="preserve">Home Improvement </w:t>
      </w:r>
      <w:r>
        <w:rPr>
          <w:rFonts w:asciiTheme="minorHAnsi" w:eastAsia="Aptos" w:hAnsiTheme="minorHAnsi" w:cs="Calibri"/>
          <w:sz w:val="24"/>
          <w:szCs w:val="24"/>
        </w:rPr>
        <w:t xml:space="preserve">Credit or </w:t>
      </w:r>
      <w:r w:rsidR="00380892">
        <w:rPr>
          <w:rFonts w:asciiTheme="minorHAnsi" w:eastAsia="Aptos" w:hAnsiTheme="minorHAnsi" w:cs="Calibri"/>
          <w:sz w:val="24"/>
          <w:szCs w:val="24"/>
        </w:rPr>
        <w:t xml:space="preserve">Eliminate </w:t>
      </w:r>
      <w:r w:rsidR="00380892" w:rsidRPr="00380892">
        <w:rPr>
          <w:rFonts w:asciiTheme="minorHAnsi" w:eastAsia="Aptos" w:hAnsiTheme="minorHAnsi" w:cs="Calibri"/>
          <w:sz w:val="24"/>
          <w:szCs w:val="24"/>
        </w:rPr>
        <w:t>The Home Electrification and Appliances Rebate (HEAR) Program</w:t>
      </w:r>
      <w:r w:rsidR="00380892">
        <w:rPr>
          <w:rFonts w:asciiTheme="minorHAnsi" w:eastAsia="Aptos" w:hAnsiTheme="minorHAnsi" w:cs="Calibri"/>
          <w:sz w:val="24"/>
          <w:szCs w:val="24"/>
        </w:rPr>
        <w:t xml:space="preserve"> </w:t>
      </w:r>
      <w:r w:rsidR="00E20AF0">
        <w:rPr>
          <w:rFonts w:asciiTheme="minorHAnsi" w:eastAsia="Aptos" w:hAnsiTheme="minorHAnsi" w:cs="Calibri"/>
          <w:sz w:val="24"/>
          <w:szCs w:val="24"/>
        </w:rPr>
        <w:t xml:space="preserve">in the </w:t>
      </w:r>
      <w:r w:rsidR="00177063">
        <w:rPr>
          <w:rFonts w:asciiTheme="minorHAnsi" w:eastAsia="Aptos" w:hAnsiTheme="minorHAnsi" w:cs="Calibri"/>
          <w:sz w:val="24"/>
          <w:szCs w:val="24"/>
        </w:rPr>
        <w:t>Reconciliation</w:t>
      </w:r>
      <w:r w:rsidR="00E20AF0">
        <w:rPr>
          <w:rFonts w:asciiTheme="minorHAnsi" w:eastAsia="Aptos" w:hAnsiTheme="minorHAnsi" w:cs="Calibri"/>
          <w:sz w:val="24"/>
          <w:szCs w:val="24"/>
        </w:rPr>
        <w:t xml:space="preserve"> </w:t>
      </w:r>
      <w:r w:rsidR="00177063">
        <w:rPr>
          <w:rFonts w:asciiTheme="minorHAnsi" w:eastAsia="Aptos" w:hAnsiTheme="minorHAnsi" w:cs="Calibri"/>
          <w:sz w:val="24"/>
          <w:szCs w:val="24"/>
        </w:rPr>
        <w:t>Bill</w:t>
      </w:r>
    </w:p>
    <w:p w14:paraId="044C12B0" w14:textId="77777777" w:rsidR="001D3E6C" w:rsidRPr="001D3E6C" w:rsidRDefault="001D3E6C" w:rsidP="001D3E6C"/>
    <w:p w14:paraId="1DB9372E" w14:textId="2C5B9039" w:rsidR="00636493" w:rsidRDefault="00A56C9F" w:rsidP="00A56C9F">
      <w:pPr>
        <w:pStyle w:val="ListParagraph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napToGrid w:val="0"/>
        <w:spacing w:before="9"/>
        <w:ind w:right="72"/>
        <w:textAlignment w:val="baseline"/>
        <w:rPr>
          <w:rFonts w:asciiTheme="minorHAnsi" w:eastAsia="Constantia" w:hAnsiTheme="minorHAnsi" w:cs="Calibri"/>
          <w:color w:val="000000"/>
        </w:rPr>
      </w:pPr>
      <w:r>
        <w:rPr>
          <w:rFonts w:asciiTheme="minorHAnsi" w:eastAsia="Constantia" w:hAnsiTheme="minorHAnsi" w:cs="Calibri"/>
          <w:color w:val="000000"/>
        </w:rPr>
        <w:t>Unfor</w:t>
      </w:r>
      <w:r w:rsidR="00E32587">
        <w:rPr>
          <w:rFonts w:asciiTheme="minorHAnsi" w:eastAsia="Constantia" w:hAnsiTheme="minorHAnsi" w:cs="Calibri"/>
          <w:color w:val="000000"/>
        </w:rPr>
        <w:t xml:space="preserve">tunately, the House Ways and Means Committee draft tax legislation terminates the </w:t>
      </w:r>
      <w:r w:rsidR="00636493" w:rsidRPr="00A56C9F">
        <w:rPr>
          <w:rFonts w:asciiTheme="minorHAnsi" w:eastAsia="Constantia" w:hAnsiTheme="minorHAnsi" w:cs="Calibri"/>
          <w:color w:val="000000"/>
        </w:rPr>
        <w:t>Home Efficiency Tax Credit</w:t>
      </w:r>
      <w:r w:rsidR="00E32587">
        <w:rPr>
          <w:rFonts w:asciiTheme="minorHAnsi" w:eastAsia="Constantia" w:hAnsiTheme="minorHAnsi" w:cs="Calibri"/>
          <w:color w:val="000000"/>
        </w:rPr>
        <w:t xml:space="preserve"> </w:t>
      </w:r>
      <w:r w:rsidR="00636493" w:rsidRPr="00A56C9F">
        <w:rPr>
          <w:rFonts w:asciiTheme="minorHAnsi" w:eastAsia="Constantia" w:hAnsiTheme="minorHAnsi" w:cs="Calibri"/>
          <w:color w:val="000000"/>
        </w:rPr>
        <w:t>(</w:t>
      </w:r>
      <w:r w:rsidR="00177063">
        <w:rPr>
          <w:rFonts w:asciiTheme="minorHAnsi" w:eastAsia="Constantia" w:hAnsiTheme="minorHAnsi" w:cs="Calibri"/>
          <w:color w:val="000000"/>
        </w:rPr>
        <w:t>25C)</w:t>
      </w:r>
      <w:r w:rsidR="00636493" w:rsidRPr="00A56C9F">
        <w:rPr>
          <w:rFonts w:asciiTheme="minorHAnsi" w:eastAsia="Constantia" w:hAnsiTheme="minorHAnsi" w:cs="Calibri"/>
          <w:color w:val="000000"/>
        </w:rPr>
        <w:t xml:space="preserve"> after December 31, 2025. This credit currently provides 30% of the cost of installation for qualified home efficiency improvements</w:t>
      </w:r>
      <w:r w:rsidR="00B4641F">
        <w:rPr>
          <w:rFonts w:asciiTheme="minorHAnsi" w:eastAsia="Constantia" w:hAnsiTheme="minorHAnsi" w:cs="Calibri"/>
          <w:color w:val="000000"/>
        </w:rPr>
        <w:t xml:space="preserve"> including </w:t>
      </w:r>
      <w:r w:rsidR="00636493" w:rsidRPr="00A56C9F">
        <w:rPr>
          <w:rFonts w:asciiTheme="minorHAnsi" w:eastAsia="Constantia" w:hAnsiTheme="minorHAnsi" w:cs="Calibri"/>
          <w:color w:val="000000"/>
        </w:rPr>
        <w:t xml:space="preserve">oil-fired furnaces and boilers </w:t>
      </w:r>
      <w:r w:rsidR="00B4641F">
        <w:rPr>
          <w:rFonts w:asciiTheme="minorHAnsi" w:eastAsia="Constantia" w:hAnsiTheme="minorHAnsi" w:cs="Calibri"/>
          <w:color w:val="000000"/>
        </w:rPr>
        <w:t>which are</w:t>
      </w:r>
      <w:r w:rsidR="00636493" w:rsidRPr="00A56C9F">
        <w:rPr>
          <w:rFonts w:asciiTheme="minorHAnsi" w:eastAsia="Constantia" w:hAnsiTheme="minorHAnsi" w:cs="Calibri"/>
          <w:color w:val="000000"/>
        </w:rPr>
        <w:t xml:space="preserve"> eligible for up to $600 if they meet 2021 ENERGY STAR® specifications and are designed for use with high blends of renewable fuels. </w:t>
      </w:r>
    </w:p>
    <w:p w14:paraId="6B4C81DE" w14:textId="77777777" w:rsidR="00C21A9B" w:rsidRPr="00A56C9F" w:rsidRDefault="00C21A9B" w:rsidP="00C21A9B">
      <w:pPr>
        <w:pStyle w:val="ListParagraph"/>
        <w:tabs>
          <w:tab w:val="left" w:pos="360"/>
          <w:tab w:val="left" w:pos="720"/>
        </w:tabs>
        <w:autoSpaceDE w:val="0"/>
        <w:autoSpaceDN w:val="0"/>
        <w:adjustRightInd w:val="0"/>
        <w:snapToGrid w:val="0"/>
        <w:spacing w:before="9"/>
        <w:ind w:right="72"/>
        <w:textAlignment w:val="baseline"/>
        <w:rPr>
          <w:rFonts w:asciiTheme="minorHAnsi" w:eastAsia="Constantia" w:hAnsiTheme="minorHAnsi" w:cs="Calibri"/>
          <w:color w:val="000000"/>
        </w:rPr>
      </w:pPr>
    </w:p>
    <w:p w14:paraId="6586AF5C" w14:textId="28115E0C" w:rsidR="00636493" w:rsidRPr="00A56C9F" w:rsidRDefault="00BC5421" w:rsidP="00A56C9F">
      <w:pPr>
        <w:pStyle w:val="ListParagraph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napToGrid w:val="0"/>
        <w:spacing w:before="9"/>
        <w:ind w:right="72"/>
        <w:textAlignment w:val="baseline"/>
        <w:rPr>
          <w:rFonts w:asciiTheme="minorHAnsi" w:eastAsia="Constantia" w:hAnsiTheme="minorHAnsi" w:cs="Calibri"/>
          <w:color w:val="000000"/>
        </w:rPr>
      </w:pPr>
      <w:r>
        <w:rPr>
          <w:rFonts w:asciiTheme="minorHAnsi" w:eastAsia="Constantia" w:hAnsiTheme="minorHAnsi" w:cs="Calibri"/>
          <w:color w:val="000000"/>
        </w:rPr>
        <w:t>Unfortunately</w:t>
      </w:r>
      <w:r w:rsidR="00131468">
        <w:rPr>
          <w:rFonts w:asciiTheme="minorHAnsi" w:eastAsia="Constantia" w:hAnsiTheme="minorHAnsi" w:cs="Calibri"/>
          <w:color w:val="000000"/>
        </w:rPr>
        <w:t xml:space="preserve">, the House Ways and Means Committee draft </w:t>
      </w:r>
      <w:r w:rsidR="004D40DC">
        <w:rPr>
          <w:rFonts w:asciiTheme="minorHAnsi" w:eastAsia="Constantia" w:hAnsiTheme="minorHAnsi" w:cs="Calibri"/>
          <w:color w:val="000000"/>
        </w:rPr>
        <w:t>does not repeal t</w:t>
      </w:r>
      <w:r w:rsidR="006F01E2" w:rsidRPr="006F01E2">
        <w:rPr>
          <w:rFonts w:asciiTheme="minorHAnsi" w:eastAsia="Constantia" w:hAnsiTheme="minorHAnsi" w:cs="Calibri"/>
          <w:color w:val="000000"/>
        </w:rPr>
        <w:t xml:space="preserve">he Home Electrification and Appliances Rebate (HEAR) Program </w:t>
      </w:r>
      <w:r w:rsidR="00636493" w:rsidRPr="00A56C9F">
        <w:rPr>
          <w:rFonts w:asciiTheme="minorHAnsi" w:eastAsia="Constantia" w:hAnsiTheme="minorHAnsi" w:cs="Calibri"/>
          <w:color w:val="000000"/>
        </w:rPr>
        <w:t>(IRA Sec. 50122)</w:t>
      </w:r>
      <w:r w:rsidR="00057462">
        <w:rPr>
          <w:rFonts w:asciiTheme="minorHAnsi" w:eastAsia="Constantia" w:hAnsiTheme="minorHAnsi" w:cs="Calibri"/>
          <w:color w:val="000000"/>
        </w:rPr>
        <w:t xml:space="preserve"> which of</w:t>
      </w:r>
      <w:r w:rsidR="00127131">
        <w:rPr>
          <w:rFonts w:asciiTheme="minorHAnsi" w:eastAsia="Constantia" w:hAnsiTheme="minorHAnsi" w:cs="Calibri"/>
          <w:color w:val="000000"/>
        </w:rPr>
        <w:t>fers</w:t>
      </w:r>
      <w:r w:rsidR="00636493" w:rsidRPr="00A56C9F">
        <w:rPr>
          <w:rFonts w:asciiTheme="minorHAnsi" w:eastAsia="Constantia" w:hAnsiTheme="minorHAnsi" w:cs="Calibri"/>
          <w:color w:val="000000"/>
        </w:rPr>
        <w:t xml:space="preserve"> up to $14,000 per home, including up to $8,000 for qualified heat pump systems</w:t>
      </w:r>
      <w:r w:rsidR="00127131">
        <w:rPr>
          <w:rFonts w:asciiTheme="minorHAnsi" w:eastAsia="Constantia" w:hAnsiTheme="minorHAnsi" w:cs="Calibri"/>
          <w:color w:val="000000"/>
        </w:rPr>
        <w:t xml:space="preserve">. </w:t>
      </w:r>
      <w:r w:rsidR="00636493" w:rsidRPr="00A56C9F">
        <w:rPr>
          <w:rFonts w:asciiTheme="minorHAnsi" w:eastAsia="Constantia" w:hAnsiTheme="minorHAnsi" w:cs="Calibri"/>
          <w:color w:val="000000"/>
        </w:rPr>
        <w:t>The draft bill also preserves the whole-home efficiency rebate program (IRA Sec. 50121) and Climate Pollution Reduction Grants program (IRA Sec.60114)</w:t>
      </w:r>
      <w:r w:rsidR="00D14756">
        <w:rPr>
          <w:rFonts w:asciiTheme="minorHAnsi" w:eastAsia="Constantia" w:hAnsiTheme="minorHAnsi" w:cs="Calibri"/>
          <w:color w:val="000000"/>
        </w:rPr>
        <w:t xml:space="preserve"> which creates an unlevel playing field between home heating energy sources. </w:t>
      </w:r>
    </w:p>
    <w:p w14:paraId="7B02397B" w14:textId="2C9B6CB6" w:rsidR="00636493" w:rsidRPr="00636493" w:rsidRDefault="00636493" w:rsidP="00A56C9F">
      <w:pPr>
        <w:tabs>
          <w:tab w:val="left" w:pos="360"/>
          <w:tab w:val="left" w:pos="720"/>
        </w:tabs>
        <w:autoSpaceDE w:val="0"/>
        <w:autoSpaceDN w:val="0"/>
        <w:adjustRightInd w:val="0"/>
        <w:snapToGrid w:val="0"/>
        <w:spacing w:before="9"/>
        <w:ind w:right="72" w:firstLine="48"/>
        <w:textAlignment w:val="baseline"/>
        <w:rPr>
          <w:rFonts w:asciiTheme="minorHAnsi" w:eastAsia="Constantia" w:hAnsiTheme="minorHAnsi" w:cs="Calibri"/>
          <w:color w:val="000000"/>
        </w:rPr>
      </w:pPr>
    </w:p>
    <w:p w14:paraId="7A9E765B" w14:textId="306F22D6" w:rsidR="004435DA" w:rsidRPr="00A56C9F" w:rsidRDefault="00D14756" w:rsidP="00A56C9F">
      <w:pPr>
        <w:pStyle w:val="ListParagraph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napToGrid w:val="0"/>
        <w:spacing w:before="9"/>
        <w:ind w:right="72"/>
        <w:textAlignment w:val="baseline"/>
        <w:rPr>
          <w:rFonts w:asciiTheme="minorHAnsi" w:eastAsia="Constantia" w:hAnsiTheme="minorHAnsi" w:cs="Calibri"/>
          <w:color w:val="000000"/>
        </w:rPr>
      </w:pPr>
      <w:r>
        <w:rPr>
          <w:rFonts w:asciiTheme="minorHAnsi" w:eastAsia="Constantia" w:hAnsiTheme="minorHAnsi" w:cs="Calibri"/>
          <w:color w:val="000000"/>
        </w:rPr>
        <w:t>EMA urges lawmakers to either</w:t>
      </w:r>
      <w:r w:rsidR="00621314">
        <w:rPr>
          <w:rFonts w:asciiTheme="minorHAnsi" w:eastAsia="Constantia" w:hAnsiTheme="minorHAnsi" w:cs="Calibri"/>
          <w:color w:val="000000"/>
        </w:rPr>
        <w:t xml:space="preserve"> scrap the </w:t>
      </w:r>
      <w:r w:rsidR="00A45DC0">
        <w:rPr>
          <w:rFonts w:asciiTheme="minorHAnsi" w:eastAsia="Constantia" w:hAnsiTheme="minorHAnsi" w:cs="Calibri"/>
          <w:color w:val="000000"/>
        </w:rPr>
        <w:t>Residential</w:t>
      </w:r>
      <w:r w:rsidR="00621314">
        <w:rPr>
          <w:rFonts w:asciiTheme="minorHAnsi" w:eastAsia="Constantia" w:hAnsiTheme="minorHAnsi" w:cs="Calibri"/>
          <w:color w:val="000000"/>
        </w:rPr>
        <w:t xml:space="preserve"> </w:t>
      </w:r>
      <w:r w:rsidR="00A45DC0">
        <w:rPr>
          <w:rFonts w:asciiTheme="minorHAnsi" w:eastAsia="Constantia" w:hAnsiTheme="minorHAnsi" w:cs="Calibri"/>
          <w:color w:val="000000"/>
        </w:rPr>
        <w:t>Electrification</w:t>
      </w:r>
      <w:r w:rsidR="00621314">
        <w:rPr>
          <w:rFonts w:asciiTheme="minorHAnsi" w:eastAsia="Constantia" w:hAnsiTheme="minorHAnsi" w:cs="Calibri"/>
          <w:color w:val="000000"/>
        </w:rPr>
        <w:t xml:space="preserve"> Rebate Program</w:t>
      </w:r>
      <w:r w:rsidR="00C23F67">
        <w:rPr>
          <w:rFonts w:asciiTheme="minorHAnsi" w:eastAsia="Constantia" w:hAnsiTheme="minorHAnsi" w:cs="Calibri"/>
          <w:color w:val="000000"/>
        </w:rPr>
        <w:t>, the whole-home efficiency rebate program and Climate Pollution Reduction Grants Program</w:t>
      </w:r>
      <w:r w:rsidR="00621314">
        <w:rPr>
          <w:rFonts w:asciiTheme="minorHAnsi" w:eastAsia="Constantia" w:hAnsiTheme="minorHAnsi" w:cs="Calibri"/>
          <w:color w:val="000000"/>
        </w:rPr>
        <w:t xml:space="preserve"> to level the playing field between all energy sources or </w:t>
      </w:r>
      <w:r w:rsidR="00F04B95">
        <w:rPr>
          <w:rFonts w:asciiTheme="minorHAnsi" w:eastAsia="Constantia" w:hAnsiTheme="minorHAnsi" w:cs="Calibri"/>
          <w:color w:val="000000"/>
        </w:rPr>
        <w:t xml:space="preserve">restore the </w:t>
      </w:r>
      <w:r w:rsidR="00F04B95" w:rsidRPr="00F04B95">
        <w:rPr>
          <w:rFonts w:asciiTheme="minorHAnsi" w:eastAsia="Constantia" w:hAnsiTheme="minorHAnsi" w:cs="Calibri"/>
          <w:color w:val="000000"/>
        </w:rPr>
        <w:t>25</w:t>
      </w:r>
      <w:r w:rsidR="00A45DC0">
        <w:rPr>
          <w:rFonts w:asciiTheme="minorHAnsi" w:eastAsia="Constantia" w:hAnsiTheme="minorHAnsi" w:cs="Calibri"/>
          <w:color w:val="000000"/>
        </w:rPr>
        <w:t>C En</w:t>
      </w:r>
      <w:r w:rsidR="00F04B95" w:rsidRPr="00F04B95">
        <w:rPr>
          <w:rFonts w:asciiTheme="minorHAnsi" w:eastAsia="Constantia" w:hAnsiTheme="minorHAnsi" w:cs="Calibri"/>
          <w:color w:val="000000"/>
        </w:rPr>
        <w:t>ergy Efficient Home Improvement Credit</w:t>
      </w:r>
      <w:r w:rsidR="00F47F0A">
        <w:rPr>
          <w:rFonts w:asciiTheme="minorHAnsi" w:eastAsia="Constantia" w:hAnsiTheme="minorHAnsi" w:cs="Calibri"/>
          <w:color w:val="000000"/>
        </w:rPr>
        <w:t>.</w:t>
      </w:r>
    </w:p>
    <w:p w14:paraId="098A152E" w14:textId="77777777" w:rsidR="00ED3133" w:rsidRPr="0096671D" w:rsidRDefault="00ED3133" w:rsidP="005E6D29">
      <w:pPr>
        <w:ind w:right="360"/>
        <w:contextualSpacing/>
        <w:textAlignment w:val="baseline"/>
        <w:rPr>
          <w:rFonts w:asciiTheme="minorHAnsi" w:eastAsia="Constantia" w:hAnsiTheme="minorHAnsi" w:cs="Calibri"/>
          <w:color w:val="000000"/>
        </w:rPr>
      </w:pPr>
    </w:p>
    <w:p w14:paraId="115B3DD6" w14:textId="77777777" w:rsidR="00ED3133" w:rsidRPr="0096671D" w:rsidRDefault="0096671D" w:rsidP="005E6D29">
      <w:pPr>
        <w:pStyle w:val="Heading1"/>
        <w:spacing w:line="240" w:lineRule="auto"/>
        <w:ind w:left="720" w:hanging="360"/>
        <w:contextualSpacing/>
        <w:rPr>
          <w:rFonts w:asciiTheme="minorHAnsi" w:eastAsia="Aptos" w:hAnsiTheme="minorHAnsi" w:cs="Calibri"/>
          <w:sz w:val="24"/>
          <w:szCs w:val="24"/>
        </w:rPr>
      </w:pPr>
      <w:r w:rsidRPr="0096671D">
        <w:rPr>
          <w:rFonts w:asciiTheme="minorHAnsi" w:eastAsia="Aptos" w:hAnsiTheme="minorHAnsi" w:cs="Calibri"/>
          <w:sz w:val="24"/>
          <w:szCs w:val="24"/>
        </w:rPr>
        <w:t xml:space="preserve">Support the </w:t>
      </w:r>
      <w:r w:rsidRPr="0096671D">
        <w:rPr>
          <w:rFonts w:asciiTheme="minorHAnsi" w:eastAsia="Aptos" w:hAnsiTheme="minorHAnsi" w:cs="Calibri"/>
          <w:i/>
          <w:iCs/>
          <w:sz w:val="24"/>
          <w:szCs w:val="24"/>
        </w:rPr>
        <w:t>Energy Choice Act</w:t>
      </w:r>
    </w:p>
    <w:p w14:paraId="745FF017" w14:textId="77777777" w:rsidR="00ED3133" w:rsidRPr="0096671D" w:rsidRDefault="00ED3133" w:rsidP="005E6D29">
      <w:pPr>
        <w:ind w:right="360"/>
        <w:contextualSpacing/>
        <w:textAlignment w:val="baseline"/>
        <w:rPr>
          <w:rFonts w:asciiTheme="minorHAnsi" w:eastAsia="Constantia" w:hAnsiTheme="minorHAnsi" w:cs="Calibri"/>
          <w:color w:val="000000"/>
        </w:rPr>
      </w:pPr>
    </w:p>
    <w:p w14:paraId="2C3F3CC2" w14:textId="77777777" w:rsidR="009C203D" w:rsidRPr="0096671D" w:rsidRDefault="0096671D" w:rsidP="005E6D29">
      <w:pPr>
        <w:ind w:right="360"/>
        <w:contextualSpacing/>
        <w:textAlignment w:val="baseline"/>
        <w:rPr>
          <w:rFonts w:asciiTheme="minorHAnsi" w:eastAsia="Constantia" w:hAnsiTheme="minorHAnsi" w:cs="Calibri"/>
          <w:b/>
          <w:bCs/>
          <w:color w:val="000000"/>
        </w:rPr>
      </w:pPr>
      <w:r w:rsidRPr="0096671D">
        <w:rPr>
          <w:rFonts w:asciiTheme="minorHAnsi" w:eastAsia="Constantia" w:hAnsiTheme="minorHAnsi" w:cs="Calibri"/>
          <w:b/>
          <w:bCs/>
          <w:color w:val="000000"/>
        </w:rPr>
        <w:t xml:space="preserve">The </w:t>
      </w:r>
      <w:r w:rsidRPr="0096671D">
        <w:rPr>
          <w:rFonts w:asciiTheme="minorHAnsi" w:eastAsia="Constantia" w:hAnsiTheme="minorHAnsi" w:cs="Calibri"/>
          <w:b/>
          <w:bCs/>
          <w:i/>
          <w:iCs/>
          <w:color w:val="000000"/>
        </w:rPr>
        <w:t xml:space="preserve">Energy Choice Act </w:t>
      </w:r>
      <w:r w:rsidRPr="0096671D">
        <w:rPr>
          <w:rFonts w:asciiTheme="minorHAnsi" w:eastAsia="Constantia" w:hAnsiTheme="minorHAnsi" w:cs="Calibri"/>
          <w:b/>
          <w:bCs/>
          <w:color w:val="000000"/>
        </w:rPr>
        <w:t xml:space="preserve">would ensure Americans can maintain their preferred energy source, promoting market competition and an all-of-the-above energy approach. </w:t>
      </w:r>
    </w:p>
    <w:p w14:paraId="6342649E" w14:textId="77777777" w:rsidR="009C203D" w:rsidRPr="0096671D" w:rsidRDefault="009C203D" w:rsidP="005E6D29">
      <w:pPr>
        <w:ind w:right="360"/>
        <w:contextualSpacing/>
        <w:textAlignment w:val="baseline"/>
        <w:rPr>
          <w:rFonts w:asciiTheme="minorHAnsi" w:eastAsia="Constantia" w:hAnsiTheme="minorHAnsi" w:cs="Calibri"/>
          <w:b/>
          <w:bCs/>
          <w:color w:val="000000"/>
        </w:rPr>
      </w:pPr>
    </w:p>
    <w:p w14:paraId="1F8A88C9" w14:textId="110AB805" w:rsidR="00ED3133" w:rsidRPr="0096671D" w:rsidRDefault="0096671D" w:rsidP="005E6D29">
      <w:pPr>
        <w:ind w:right="360"/>
        <w:contextualSpacing/>
        <w:textAlignment w:val="baseline"/>
        <w:rPr>
          <w:rFonts w:asciiTheme="minorHAnsi" w:eastAsia="Constantia" w:hAnsiTheme="minorHAnsi" w:cs="Calibri"/>
          <w:b/>
          <w:bCs/>
          <w:color w:val="000000"/>
        </w:rPr>
      </w:pPr>
      <w:r w:rsidRPr="0096671D">
        <w:rPr>
          <w:rFonts w:asciiTheme="minorHAnsi" w:eastAsia="Constantia" w:hAnsiTheme="minorHAnsi" w:cs="Calibri"/>
          <w:color w:val="000000"/>
        </w:rPr>
        <w:t>The legislation would:</w:t>
      </w:r>
    </w:p>
    <w:p w14:paraId="20AE4630" w14:textId="77777777" w:rsidR="00ED3133" w:rsidRPr="0096671D" w:rsidRDefault="0096671D" w:rsidP="005E6D29">
      <w:pPr>
        <w:pStyle w:val="ListParagraph"/>
        <w:numPr>
          <w:ilvl w:val="0"/>
          <w:numId w:val="5"/>
        </w:numPr>
        <w:ind w:right="360"/>
        <w:textAlignment w:val="baseline"/>
        <w:rPr>
          <w:rFonts w:asciiTheme="minorHAnsi" w:eastAsia="Constantia" w:hAnsiTheme="minorHAnsi" w:cs="Calibri"/>
          <w:color w:val="000000"/>
        </w:rPr>
      </w:pPr>
      <w:r w:rsidRPr="0096671D">
        <w:rPr>
          <w:rFonts w:asciiTheme="minorHAnsi" w:eastAsia="Constantia" w:hAnsiTheme="minorHAnsi" w:cs="Calibri"/>
          <w:color w:val="000000"/>
        </w:rPr>
        <w:t>Prohibit states or local governments from discriminating against types or sources of energy through bans on an energy service's connection, reconnection, modification, installation, or expansion.</w:t>
      </w:r>
    </w:p>
    <w:p w14:paraId="58C757A2" w14:textId="77777777" w:rsidR="00CA4C01" w:rsidRPr="0096671D" w:rsidRDefault="0096671D" w:rsidP="005E6D29">
      <w:pPr>
        <w:pStyle w:val="ListParagraph"/>
        <w:numPr>
          <w:ilvl w:val="0"/>
          <w:numId w:val="5"/>
        </w:numPr>
        <w:ind w:right="360"/>
        <w:textAlignment w:val="baseline"/>
        <w:rPr>
          <w:rFonts w:asciiTheme="minorHAnsi" w:eastAsia="Constantia" w:hAnsiTheme="minorHAnsi" w:cs="Calibri"/>
          <w:color w:val="000000"/>
        </w:rPr>
      </w:pPr>
      <w:r w:rsidRPr="0096671D">
        <w:rPr>
          <w:rFonts w:asciiTheme="minorHAnsi" w:eastAsia="Constantia" w:hAnsiTheme="minorHAnsi" w:cs="Calibri"/>
          <w:color w:val="000000"/>
        </w:rPr>
        <w:t xml:space="preserve">Allow Americans to select the heating solution best suited for their household and budget. </w:t>
      </w:r>
    </w:p>
    <w:p w14:paraId="7279C488" w14:textId="77777777" w:rsidR="00CA4C01" w:rsidRPr="0096671D" w:rsidRDefault="0096671D" w:rsidP="005E6D29">
      <w:pPr>
        <w:pStyle w:val="ListParagraph"/>
        <w:numPr>
          <w:ilvl w:val="0"/>
          <w:numId w:val="5"/>
        </w:numPr>
        <w:ind w:right="360"/>
        <w:textAlignment w:val="baseline"/>
        <w:rPr>
          <w:rFonts w:asciiTheme="minorHAnsi" w:eastAsia="Constantia" w:hAnsiTheme="minorHAnsi" w:cs="Calibri"/>
          <w:color w:val="000000"/>
        </w:rPr>
      </w:pPr>
      <w:r w:rsidRPr="0096671D">
        <w:rPr>
          <w:rFonts w:asciiTheme="minorHAnsi" w:eastAsia="Constantia" w:hAnsiTheme="minorHAnsi" w:cs="Calibri"/>
          <w:color w:val="000000"/>
        </w:rPr>
        <w:t>Maintain the availability of more energy efficient fuels like biomass-based diesel and renewable diesel.</w:t>
      </w:r>
    </w:p>
    <w:p w14:paraId="447577B6" w14:textId="77777777" w:rsidR="00ED3133" w:rsidRPr="0096671D" w:rsidRDefault="00ED3133" w:rsidP="005E6D29">
      <w:pPr>
        <w:ind w:right="360"/>
        <w:contextualSpacing/>
        <w:textAlignment w:val="baseline"/>
        <w:rPr>
          <w:rFonts w:asciiTheme="minorHAnsi" w:eastAsia="Constantia" w:hAnsiTheme="minorHAnsi" w:cs="Calibri"/>
          <w:color w:val="000000"/>
        </w:rPr>
      </w:pPr>
    </w:p>
    <w:p w14:paraId="697E66F1" w14:textId="77777777" w:rsidR="00543BBE" w:rsidRPr="0096671D" w:rsidRDefault="0096671D" w:rsidP="005E6D29">
      <w:pPr>
        <w:ind w:right="360"/>
        <w:contextualSpacing/>
        <w:textAlignment w:val="baseline"/>
        <w:rPr>
          <w:rFonts w:asciiTheme="minorHAnsi" w:eastAsia="Constantia" w:hAnsiTheme="minorHAnsi" w:cs="Calibri"/>
          <w:i/>
          <w:color w:val="000000"/>
        </w:rPr>
      </w:pPr>
      <w:r w:rsidRPr="0096671D">
        <w:rPr>
          <w:rFonts w:asciiTheme="minorHAnsi" w:eastAsia="Constantia" w:hAnsiTheme="minorHAnsi" w:cs="Calibri"/>
          <w:color w:val="000000"/>
        </w:rPr>
        <w:t>(</w:t>
      </w:r>
      <w:r w:rsidRPr="0096671D">
        <w:rPr>
          <w:rFonts w:asciiTheme="minorHAnsi" w:eastAsia="Constantia" w:hAnsiTheme="minorHAnsi" w:cs="Calibri"/>
          <w:i/>
          <w:color w:val="000000"/>
        </w:rPr>
        <w:t>Committees: House and Senate Agriculture Committees, House Energy &amp; Commerce Committee, Senate Energy &amp; Natural Resources Committee)</w:t>
      </w:r>
    </w:p>
    <w:p w14:paraId="314025FC" w14:textId="77777777" w:rsidR="00CA4C01" w:rsidRPr="0096671D" w:rsidRDefault="00CA4C01" w:rsidP="005E6D29">
      <w:pPr>
        <w:pBdr>
          <w:bottom w:val="single" w:sz="6" w:space="1" w:color="auto"/>
        </w:pBdr>
        <w:ind w:right="360"/>
        <w:contextualSpacing/>
        <w:textAlignment w:val="baseline"/>
        <w:rPr>
          <w:rFonts w:asciiTheme="minorHAnsi" w:eastAsia="Constantia" w:hAnsiTheme="minorHAnsi" w:cs="Calibri"/>
          <w:i/>
          <w:color w:val="000000"/>
        </w:rPr>
      </w:pPr>
    </w:p>
    <w:p w14:paraId="04FE06BF" w14:textId="69E8BB00" w:rsidR="00543BBE" w:rsidRPr="0096671D" w:rsidRDefault="0096671D" w:rsidP="005E6D29">
      <w:pPr>
        <w:spacing w:before="41" w:after="10496"/>
        <w:ind w:right="2016"/>
        <w:contextualSpacing/>
        <w:textAlignment w:val="baseline"/>
        <w:rPr>
          <w:rFonts w:asciiTheme="minorHAnsi" w:eastAsia="Constantia" w:hAnsiTheme="minorHAnsi" w:cs="Calibri"/>
          <w:b/>
          <w:color w:val="006FC0"/>
        </w:rPr>
        <w:sectPr w:rsidR="00543BBE" w:rsidRPr="0096671D" w:rsidSect="00AA7C8D">
          <w:footerReference w:type="default" r:id="rId11"/>
          <w:pgSz w:w="12240" w:h="15840"/>
          <w:pgMar w:top="720" w:right="720" w:bottom="576" w:left="720" w:header="720" w:footer="720" w:gutter="0"/>
          <w:cols w:space="720"/>
        </w:sectPr>
      </w:pPr>
      <w:r w:rsidRPr="0096671D">
        <w:rPr>
          <w:rFonts w:asciiTheme="minorHAnsi" w:eastAsia="Constantia" w:hAnsiTheme="minorHAnsi" w:cs="Calibri"/>
          <w:b/>
          <w:color w:val="006FC0"/>
        </w:rPr>
        <w:t>EMA Staff Contact:</w:t>
      </w:r>
      <w:r w:rsidRPr="0096671D">
        <w:rPr>
          <w:rFonts w:asciiTheme="minorHAnsi" w:eastAsia="Constantia" w:hAnsiTheme="minorHAnsi" w:cs="Calibri"/>
          <w:color w:val="000000"/>
        </w:rPr>
        <w:t xml:space="preserve"> Rob Underwood,</w:t>
      </w:r>
      <w:hyperlink r:id="rId12">
        <w:r w:rsidR="00543BBE" w:rsidRPr="0096671D">
          <w:rPr>
            <w:rFonts w:asciiTheme="minorHAnsi" w:eastAsia="Constantia" w:hAnsiTheme="minorHAnsi" w:cs="Calibri"/>
            <w:color w:val="0000FF"/>
            <w:u w:val="single"/>
          </w:rPr>
          <w:t xml:space="preserve"> runderwood@emamerica.org</w:t>
        </w:r>
      </w:hyperlink>
      <w:hyperlink r:id="rId13">
        <w:r w:rsidR="00543BBE" w:rsidRPr="0096671D">
          <w:rPr>
            <w:rFonts w:asciiTheme="minorHAnsi" w:eastAsia="Constantia" w:hAnsiTheme="minorHAnsi" w:cs="Calibri"/>
            <w:color w:val="0000FF"/>
            <w:u w:val="single"/>
          </w:rPr>
          <w:t>,</w:t>
        </w:r>
      </w:hyperlink>
      <w:r w:rsidRPr="0096671D">
        <w:rPr>
          <w:rFonts w:asciiTheme="minorHAnsi" w:eastAsia="Constantia" w:hAnsiTheme="minorHAnsi" w:cs="Calibri"/>
          <w:color w:val="000000"/>
        </w:rPr>
        <w:t xml:space="preserve"> Austin Harrison, </w:t>
      </w:r>
      <w:hyperlink r:id="rId14" w:history="1">
        <w:r w:rsidR="005E6D29" w:rsidRPr="0096671D">
          <w:rPr>
            <w:rStyle w:val="Hyperlink"/>
            <w:rFonts w:asciiTheme="minorHAnsi" w:eastAsia="Constantia" w:hAnsiTheme="minorHAnsi" w:cs="Calibri"/>
          </w:rPr>
          <w:t>Austin.harrison@squirepb.com</w:t>
        </w:r>
      </w:hyperlink>
    </w:p>
    <w:p w14:paraId="20558AD5" w14:textId="77777777" w:rsidR="00543BBE" w:rsidRPr="0096671D" w:rsidRDefault="00543BBE" w:rsidP="005E6D29">
      <w:pPr>
        <w:spacing w:before="8"/>
        <w:contextualSpacing/>
        <w:textAlignment w:val="baseline"/>
        <w:rPr>
          <w:rFonts w:asciiTheme="minorHAnsi" w:eastAsia="Times New Roman" w:hAnsiTheme="minorHAnsi" w:cs="Calibri"/>
          <w:color w:val="000000"/>
          <w:spacing w:val="-9"/>
        </w:rPr>
      </w:pPr>
    </w:p>
    <w:sectPr w:rsidR="00543BBE" w:rsidRPr="0096671D">
      <w:type w:val="continuous"/>
      <w:pgSz w:w="12240" w:h="15840"/>
      <w:pgMar w:top="1120" w:right="10312" w:bottom="304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AE8C24" w14:textId="77777777" w:rsidR="006936C7" w:rsidRDefault="006936C7">
      <w:r>
        <w:separator/>
      </w:r>
    </w:p>
  </w:endnote>
  <w:endnote w:type="continuationSeparator" w:id="0">
    <w:p w14:paraId="662A8987" w14:textId="77777777" w:rsidR="006936C7" w:rsidRDefault="00693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FC9FA" w14:textId="4A52D8F2" w:rsidR="001E2301" w:rsidRPr="009C203D" w:rsidRDefault="009C203D">
    <w:pPr>
      <w:pStyle w:val="Footer"/>
      <w:rPr>
        <w:rFonts w:ascii="Calibri" w:hAnsi="Calibri" w:cs="Calibri"/>
      </w:rPr>
    </w:pPr>
    <w:r w:rsidRPr="009C203D">
      <w:rPr>
        <w:rFonts w:ascii="Calibri" w:hAnsi="Calibri" w:cs="Calibri"/>
      </w:rPr>
      <w:t>May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2DFB0C" w14:textId="77777777" w:rsidR="006936C7" w:rsidRDefault="006936C7">
      <w:r>
        <w:separator/>
      </w:r>
    </w:p>
  </w:footnote>
  <w:footnote w:type="continuationSeparator" w:id="0">
    <w:p w14:paraId="38998C8A" w14:textId="77777777" w:rsidR="006936C7" w:rsidRDefault="006936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5244D"/>
    <w:multiLevelType w:val="hybridMultilevel"/>
    <w:tmpl w:val="B1161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552D74"/>
    <w:multiLevelType w:val="hybridMultilevel"/>
    <w:tmpl w:val="6472DCBC"/>
    <w:lvl w:ilvl="0" w:tplc="3274F9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484C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0A35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E81A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0CBF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10C8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0257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832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544F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43D46"/>
    <w:multiLevelType w:val="hybridMultilevel"/>
    <w:tmpl w:val="CCAED0B0"/>
    <w:lvl w:ilvl="0" w:tplc="FB80E6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002C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81ADE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4E61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1055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7CC01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2658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06F0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68B9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9B1A26"/>
    <w:multiLevelType w:val="hybridMultilevel"/>
    <w:tmpl w:val="C8A04A52"/>
    <w:lvl w:ilvl="0" w:tplc="9B4655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DA51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665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78E9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BA94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167A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A8F9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A2AD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1672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1035C1"/>
    <w:multiLevelType w:val="hybridMultilevel"/>
    <w:tmpl w:val="EA7E84DA"/>
    <w:lvl w:ilvl="0" w:tplc="28D015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0478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947A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3A4F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4E6E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97A9A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02CE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3E7C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5AEBA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BC3FF8"/>
    <w:multiLevelType w:val="multilevel"/>
    <w:tmpl w:val="AC98D75A"/>
    <w:lvl w:ilvl="0">
      <w:numFmt w:val="bullet"/>
      <w:lvlText w:val="·"/>
      <w:lvlJc w:val="left"/>
      <w:pPr>
        <w:tabs>
          <w:tab w:val="left" w:pos="360"/>
        </w:tabs>
      </w:pPr>
      <w:rPr>
        <w:rFonts w:ascii="Symbol" w:eastAsia="Symbol" w:hAnsi="Symbol"/>
        <w:color w:val="000000"/>
        <w:spacing w:val="0"/>
        <w:w w:val="100"/>
        <w:sz w:val="22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84724973">
    <w:abstractNumId w:val="5"/>
  </w:num>
  <w:num w:numId="2" w16cid:durableId="902643869">
    <w:abstractNumId w:val="2"/>
  </w:num>
  <w:num w:numId="3" w16cid:durableId="896668794">
    <w:abstractNumId w:val="3"/>
  </w:num>
  <w:num w:numId="4" w16cid:durableId="918294380">
    <w:abstractNumId w:val="4"/>
  </w:num>
  <w:num w:numId="5" w16cid:durableId="2109345008">
    <w:abstractNumId w:val="1"/>
  </w:num>
  <w:num w:numId="6" w16cid:durableId="4522876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BBE"/>
    <w:rsid w:val="00057462"/>
    <w:rsid w:val="00127131"/>
    <w:rsid w:val="00131468"/>
    <w:rsid w:val="00177063"/>
    <w:rsid w:val="001D3E6C"/>
    <w:rsid w:val="001D3FAE"/>
    <w:rsid w:val="001E2301"/>
    <w:rsid w:val="00380892"/>
    <w:rsid w:val="00421203"/>
    <w:rsid w:val="004435DA"/>
    <w:rsid w:val="00492691"/>
    <w:rsid w:val="004D40DC"/>
    <w:rsid w:val="00537967"/>
    <w:rsid w:val="00543BBE"/>
    <w:rsid w:val="005E6D29"/>
    <w:rsid w:val="00621314"/>
    <w:rsid w:val="00636493"/>
    <w:rsid w:val="006936C7"/>
    <w:rsid w:val="006F01E2"/>
    <w:rsid w:val="006F0E56"/>
    <w:rsid w:val="007F3600"/>
    <w:rsid w:val="0096671D"/>
    <w:rsid w:val="009C203D"/>
    <w:rsid w:val="00A45DC0"/>
    <w:rsid w:val="00A47980"/>
    <w:rsid w:val="00A54C5B"/>
    <w:rsid w:val="00A56C9F"/>
    <w:rsid w:val="00AA7C8D"/>
    <w:rsid w:val="00B4641F"/>
    <w:rsid w:val="00B66738"/>
    <w:rsid w:val="00BB47FD"/>
    <w:rsid w:val="00BC5421"/>
    <w:rsid w:val="00C11D26"/>
    <w:rsid w:val="00C21A9B"/>
    <w:rsid w:val="00C23F67"/>
    <w:rsid w:val="00CA4C01"/>
    <w:rsid w:val="00CB0147"/>
    <w:rsid w:val="00D14756"/>
    <w:rsid w:val="00D630DF"/>
    <w:rsid w:val="00D97C55"/>
    <w:rsid w:val="00E20AF0"/>
    <w:rsid w:val="00E26BDE"/>
    <w:rsid w:val="00E32587"/>
    <w:rsid w:val="00E63D35"/>
    <w:rsid w:val="00E6687A"/>
    <w:rsid w:val="00ED3133"/>
    <w:rsid w:val="00EE2DEC"/>
    <w:rsid w:val="00F04B95"/>
    <w:rsid w:val="00F1233C"/>
    <w:rsid w:val="00F47F0A"/>
    <w:rsid w:val="00F67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F2F343"/>
  <w15:docId w15:val="{13B95C80-8D3A-4DF8-8CCB-EFDA3513C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uiPriority w:val="9"/>
    <w:qFormat/>
    <w:rsid w:val="00A47980"/>
    <w:pPr>
      <w:keepNext/>
      <w:keepLines/>
      <w:spacing w:line="259" w:lineRule="auto"/>
      <w:ind w:left="10" w:hanging="10"/>
      <w:outlineLvl w:val="0"/>
    </w:pPr>
    <w:rPr>
      <w:rFonts w:ascii="Constantia" w:eastAsia="Constantia" w:hAnsi="Constantia" w:cs="Constantia"/>
      <w:b/>
      <w:color w:val="0070C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673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A47980"/>
    <w:rPr>
      <w:rFonts w:ascii="Constantia" w:eastAsia="Constantia" w:hAnsi="Constantia" w:cs="Constantia"/>
      <w:b/>
      <w:color w:val="0070C0"/>
    </w:rPr>
  </w:style>
  <w:style w:type="character" w:styleId="Hyperlink">
    <w:name w:val="Hyperlink"/>
    <w:basedOn w:val="DefaultParagraphFont"/>
    <w:uiPriority w:val="99"/>
    <w:unhideWhenUsed/>
    <w:rsid w:val="00F1233C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1233C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E230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2301"/>
  </w:style>
  <w:style w:type="paragraph" w:styleId="Footer">
    <w:name w:val="footer"/>
    <w:basedOn w:val="Normal"/>
    <w:link w:val="FooterChar"/>
    <w:uiPriority w:val="99"/>
    <w:unhideWhenUsed/>
    <w:rsid w:val="001E230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23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runderwood@emamerica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runderwood@emamerica.org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mailto:Austin.harrison@squirepb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</Pages>
  <Words>827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 Underwood</cp:lastModifiedBy>
  <cp:revision>2</cp:revision>
  <dcterms:created xsi:type="dcterms:W3CDTF">2025-05-13T19:25:00Z</dcterms:created>
  <dcterms:modified xsi:type="dcterms:W3CDTF">2025-05-13T19:25:00Z</dcterms:modified>
</cp:coreProperties>
</file>